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both"/>
        <w:rPr>
          <w:rFonts w:hint="eastAsia" w:ascii="黑体" w:hAnsi="黑体" w:eastAsia="黑体"/>
          <w:kern w:val="2"/>
          <w:sz w:val="32"/>
          <w:szCs w:val="24"/>
          <w:lang w:val="zh-CN"/>
        </w:rPr>
      </w:pPr>
      <w:bookmarkStart w:id="0" w:name="_GoBack"/>
      <w:bookmarkEnd w:id="0"/>
    </w:p>
    <w:p>
      <w:pPr>
        <w:spacing w:line="580" w:lineRule="exact"/>
        <w:jc w:val="center"/>
        <w:rPr>
          <w:rFonts w:hint="eastAsia" w:ascii="黑体" w:hAnsi="黑体" w:eastAsia="黑体"/>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spacing w:line="580" w:lineRule="exact"/>
        <w:jc w:val="center"/>
        <w:rPr>
          <w:rFonts w:hint="default" w:ascii="Times New Roman" w:hAnsi="Times New Roman" w:eastAsia="Times New Roman"/>
          <w:kern w:val="2"/>
          <w:sz w:val="44"/>
          <w:szCs w:val="24"/>
          <w:lang w:val="zh-CN"/>
        </w:rPr>
      </w:pPr>
    </w:p>
    <w:p>
      <w:pPr>
        <w:jc w:val="center"/>
        <w:rPr>
          <w:rFonts w:hint="eastAsia" w:ascii="方正小标宋简体" w:hAnsi="方正小标宋简体" w:eastAsia="方正小标宋简体"/>
          <w:sz w:val="48"/>
          <w:szCs w:val="24"/>
          <w:lang w:val="zh-CN"/>
        </w:rPr>
      </w:pPr>
      <w:r>
        <w:rPr>
          <w:rFonts w:hint="eastAsia" w:ascii="方正小标宋简体" w:hAnsi="方正小标宋简体" w:eastAsia="方正小标宋简体"/>
          <w:sz w:val="48"/>
          <w:szCs w:val="24"/>
          <w:lang w:val="zh-CN"/>
        </w:rPr>
        <w:t>天津市西青区大寺镇社区卫生服务中心2021年度部门决算</w:t>
      </w:r>
    </w:p>
    <w:p>
      <w:pPr>
        <w:spacing w:line="580" w:lineRule="exact"/>
        <w:jc w:val="center"/>
        <w:rPr>
          <w:rFonts w:hint="eastAsia" w:ascii="黑体" w:hAnsi="黑体" w:eastAsia="黑体"/>
          <w:kern w:val="2"/>
          <w:sz w:val="30"/>
          <w:szCs w:val="24"/>
          <w:lang w:val="en-US"/>
        </w:rPr>
      </w:pPr>
    </w:p>
    <w:p>
      <w:pPr>
        <w:spacing w:line="580" w:lineRule="exact"/>
        <w:jc w:val="center"/>
        <w:rPr>
          <w:rFonts w:hint="eastAsia" w:ascii="黑体" w:hAnsi="黑体" w:eastAsia="黑体"/>
          <w:kern w:val="2"/>
          <w:sz w:val="30"/>
          <w:szCs w:val="24"/>
          <w:lang w:val="en-US"/>
        </w:rPr>
      </w:pPr>
    </w:p>
    <w:p>
      <w:pPr>
        <w:spacing w:line="580" w:lineRule="exact"/>
        <w:jc w:val="center"/>
        <w:rPr>
          <w:rFonts w:hint="eastAsia" w:ascii="黑体" w:hAnsi="黑体" w:eastAsia="黑体"/>
          <w:kern w:val="2"/>
          <w:sz w:val="30"/>
          <w:szCs w:val="24"/>
          <w:lang w:val="en-US"/>
        </w:rPr>
      </w:pPr>
    </w:p>
    <w:p>
      <w:pPr>
        <w:spacing w:line="580" w:lineRule="exact"/>
        <w:jc w:val="center"/>
        <w:rPr>
          <w:rFonts w:hint="eastAsia" w:ascii="黑体" w:hAnsi="黑体" w:eastAsia="黑体"/>
          <w:kern w:val="2"/>
          <w:sz w:val="30"/>
          <w:szCs w:val="24"/>
          <w:lang w:val="en-US"/>
        </w:rPr>
      </w:pPr>
    </w:p>
    <w:p>
      <w:pPr>
        <w:spacing w:line="580" w:lineRule="exact"/>
        <w:jc w:val="center"/>
        <w:rPr>
          <w:rFonts w:hint="eastAsia" w:ascii="黑体" w:hAnsi="黑体" w:eastAsia="黑体"/>
          <w:kern w:val="2"/>
          <w:sz w:val="30"/>
          <w:szCs w:val="24"/>
          <w:lang w:val="en-US"/>
        </w:rPr>
      </w:pPr>
    </w:p>
    <w:p>
      <w:pPr>
        <w:rPr>
          <w:rFonts w:hint="eastAsia" w:ascii="黑体" w:hAnsi="黑体" w:eastAsia="黑体"/>
          <w:kern w:val="2"/>
          <w:sz w:val="30"/>
          <w:szCs w:val="24"/>
          <w:lang w:val="en-US"/>
        </w:rPr>
        <w:sectPr>
          <w:pgSz w:w="12240" w:h="15840"/>
          <w:pgMar w:top="1440" w:right="1800" w:bottom="1440" w:left="1800" w:header="720" w:footer="720" w:gutter="0"/>
          <w:lnNumType w:countBy="0" w:distance="360"/>
          <w:cols w:space="720" w:num="1"/>
        </w:sectPr>
      </w:pPr>
    </w:p>
    <w:p>
      <w:pPr>
        <w:rPr>
          <w:rFonts w:hint="eastAsia" w:ascii="黑体" w:hAnsi="黑体" w:eastAsia="黑体"/>
          <w:kern w:val="2"/>
          <w:sz w:val="30"/>
          <w:szCs w:val="24"/>
          <w:lang w:val="en-US"/>
        </w:rPr>
      </w:pPr>
    </w:p>
    <w:p>
      <w:pPr>
        <w:spacing w:line="600" w:lineRule="exact"/>
        <w:jc w:val="center"/>
        <w:rPr>
          <w:rFonts w:hint="eastAsia" w:ascii="黑体" w:hAnsi="黑体" w:eastAsia="黑体"/>
          <w:sz w:val="44"/>
          <w:szCs w:val="24"/>
          <w:lang w:val="zh-CN"/>
        </w:rPr>
      </w:pPr>
      <w:r>
        <w:rPr>
          <w:rFonts w:hint="eastAsia" w:ascii="黑体" w:hAnsi="黑体" w:eastAsia="黑体"/>
          <w:sz w:val="44"/>
          <w:szCs w:val="24"/>
          <w:lang w:val="zh-CN"/>
        </w:rPr>
        <w:t>目   录</w:t>
      </w:r>
    </w:p>
    <w:p>
      <w:pPr>
        <w:spacing w:line="600" w:lineRule="exact"/>
        <w:rPr>
          <w:rFonts w:hint="eastAsia" w:ascii="黑体" w:hAnsi="黑体" w:eastAsia="黑体"/>
          <w:sz w:val="30"/>
          <w:szCs w:val="24"/>
          <w:lang w:val="zh-CN"/>
        </w:rPr>
      </w:pPr>
    </w:p>
    <w:p>
      <w:pPr>
        <w:tabs>
          <w:tab w:val="right" w:leader="dot" w:pos="8306"/>
        </w:tabs>
        <w:spacing w:line="700" w:lineRule="exact"/>
        <w:rPr>
          <w:rFonts w:hint="default" w:ascii="Times New Roman" w:hAnsi="Times New Roman" w:eastAsia="Times New Roman"/>
          <w:sz w:val="30"/>
          <w:szCs w:val="24"/>
          <w:lang w:val="zh-CN"/>
        </w:rPr>
      </w:pPr>
      <w:r>
        <w:rPr>
          <w:rFonts w:hint="eastAsia" w:ascii="方正小标宋简体" w:hAnsi="方正小标宋简体" w:eastAsia="方正小标宋简体"/>
          <w:sz w:val="30"/>
          <w:szCs w:val="24"/>
          <w:lang w:val="zh-CN"/>
        </w:rPr>
        <w:t>第一部分  概 况</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1</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一、主要职责</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1</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二、机构设置</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1</w:t>
      </w:r>
    </w:p>
    <w:p>
      <w:pPr>
        <w:tabs>
          <w:tab w:val="right" w:leader="dot" w:pos="8306"/>
        </w:tabs>
        <w:spacing w:line="700" w:lineRule="exact"/>
        <w:rPr>
          <w:rFonts w:hint="default" w:ascii="Times New Roman" w:hAnsi="Times New Roman" w:eastAsia="Times New Roman"/>
          <w:sz w:val="30"/>
          <w:szCs w:val="24"/>
          <w:lang w:val="zh-CN"/>
        </w:rPr>
      </w:pPr>
      <w:r>
        <w:rPr>
          <w:rFonts w:hint="eastAsia" w:ascii="方正小标宋简体" w:hAnsi="方正小标宋简体" w:eastAsia="方正小标宋简体"/>
          <w:sz w:val="30"/>
          <w:szCs w:val="24"/>
          <w:lang w:val="zh-CN"/>
        </w:rPr>
        <w:t>第二部分  202</w:t>
      </w:r>
      <w:r>
        <w:rPr>
          <w:rFonts w:hint="default" w:ascii="Times New Roman" w:hAnsi="Times New Roman" w:eastAsia="Times New Roman"/>
          <w:sz w:val="30"/>
          <w:szCs w:val="24"/>
          <w:lang w:val="en-US"/>
        </w:rPr>
        <w:t>1</w:t>
      </w:r>
      <w:r>
        <w:rPr>
          <w:rFonts w:hint="eastAsia" w:ascii="方正小标宋简体" w:hAnsi="方正小标宋简体" w:eastAsia="方正小标宋简体"/>
          <w:sz w:val="30"/>
          <w:szCs w:val="24"/>
          <w:lang w:val="zh-CN"/>
        </w:rPr>
        <w:t>年度部门决算表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一、收入支出决算总表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二、收入决算表（按功能分类列示）</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三、收入决算表（按单位列示）</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四、支出决算表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五、财政拨款收入支出决算总表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六、一般公共预算财政拨款支出决算表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七、一般公共预算财政拨款基本支出决算表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八、一般公共预算财政拨款“三公”经费支出决算表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九、政府性基金预算财政拨款收入支出决算表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十、国有资本经营预算财政拨款收入支出决算表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十一、项目支出决算表</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2</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十二、关于空表的说明</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3</w:t>
      </w:r>
    </w:p>
    <w:p>
      <w:pPr>
        <w:tabs>
          <w:tab w:val="right" w:leader="dot" w:pos="8306"/>
        </w:tabs>
        <w:spacing w:line="700" w:lineRule="exact"/>
        <w:rPr>
          <w:rFonts w:hint="eastAsia" w:ascii="方正小标宋简体" w:hAnsi="方正小标宋简体" w:eastAsia="方正小标宋简体"/>
          <w:sz w:val="30"/>
          <w:szCs w:val="24"/>
          <w:lang w:val="zh-CN"/>
        </w:rPr>
        <w:sectPr>
          <w:footerReference r:id="rId3" w:type="default"/>
          <w:pgSz w:w="12240" w:h="15840"/>
          <w:pgMar w:top="1440" w:right="1800" w:bottom="1440" w:left="1800" w:header="720" w:footer="720" w:gutter="0"/>
          <w:lnNumType w:countBy="0" w:distance="360"/>
          <w:pgNumType w:start="1"/>
          <w:cols w:space="720" w:num="1"/>
        </w:sectPr>
      </w:pPr>
    </w:p>
    <w:p>
      <w:pPr>
        <w:tabs>
          <w:tab w:val="right" w:leader="dot" w:pos="8306"/>
        </w:tabs>
        <w:spacing w:line="700" w:lineRule="exact"/>
        <w:rPr>
          <w:rFonts w:hint="eastAsia" w:ascii="Times New Roman" w:hAnsi="Times New Roman" w:eastAsia="宋体"/>
          <w:sz w:val="30"/>
          <w:szCs w:val="24"/>
          <w:lang w:val="en-US" w:eastAsia="zh-CN"/>
        </w:rPr>
      </w:pPr>
      <w:r>
        <w:rPr>
          <w:rFonts w:hint="eastAsia" w:ascii="方正小标宋简体" w:hAnsi="方正小标宋简体" w:eastAsia="方正小标宋简体"/>
          <w:sz w:val="30"/>
          <w:szCs w:val="24"/>
          <w:lang w:val="zh-CN"/>
        </w:rPr>
        <w:t>第三部分  202</w:t>
      </w:r>
      <w:r>
        <w:rPr>
          <w:rFonts w:hint="default" w:ascii="Times New Roman" w:hAnsi="Times New Roman" w:eastAsia="Times New Roman"/>
          <w:sz w:val="30"/>
          <w:szCs w:val="24"/>
          <w:lang w:val="en-US"/>
        </w:rPr>
        <w:t>1</w:t>
      </w:r>
      <w:r>
        <w:rPr>
          <w:rFonts w:hint="eastAsia" w:ascii="方正小标宋简体" w:hAnsi="方正小标宋简体" w:eastAsia="方正小标宋简体"/>
          <w:sz w:val="30"/>
          <w:szCs w:val="24"/>
          <w:lang w:val="zh-CN"/>
        </w:rPr>
        <w:t>年度部门决算情况说明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4</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一、收支决算总体情况说明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4</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二、收入决算情况说明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4</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三、支出决算情况说明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4</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四、财政拨款收支决算总体情况说明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4</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五、一般公共预算财政拨款支出决算情况说明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5</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六、一般公共预算财政拨款基本支出决算情况说明</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7</w:t>
      </w:r>
    </w:p>
    <w:p>
      <w:pPr>
        <w:tabs>
          <w:tab w:val="right" w:leader="dot" w:pos="8306"/>
        </w:tabs>
        <w:spacing w:line="700" w:lineRule="exact"/>
        <w:ind w:left="220"/>
        <w:rPr>
          <w:rFonts w:hint="eastAsia" w:ascii="Times New Roman" w:hAnsi="Times New Roman" w:eastAsia="宋体"/>
          <w:sz w:val="30"/>
          <w:szCs w:val="24"/>
          <w:lang w:val="zh-CN" w:eastAsia="zh-CN"/>
        </w:rPr>
      </w:pPr>
      <w:r>
        <w:rPr>
          <w:rFonts w:hint="eastAsia" w:ascii="仿宋_GB2312" w:hAnsi="仿宋_GB2312" w:eastAsia="仿宋_GB2312"/>
          <w:sz w:val="30"/>
          <w:szCs w:val="24"/>
          <w:lang w:val="zh-CN"/>
        </w:rPr>
        <w:t>七、一般公共预算财政拨款“三公”经费支出决算情况说明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8</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八、政府性基金预算财政拨款收支决算情况说明</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8</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九、国有资本经营预算财政拨款收支决算情况说明</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8</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十、机关运行经费支出情况说明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8</w:t>
      </w:r>
    </w:p>
    <w:p>
      <w:pPr>
        <w:tabs>
          <w:tab w:val="right" w:leader="dot" w:pos="8306"/>
        </w:tabs>
        <w:spacing w:line="700" w:lineRule="exact"/>
        <w:ind w:left="220"/>
        <w:rPr>
          <w:rFonts w:hint="default" w:ascii="Times New Roman" w:hAnsi="Times New Roman" w:eastAsia="Times New Roman"/>
          <w:sz w:val="30"/>
          <w:szCs w:val="24"/>
          <w:lang w:val="zh-CN"/>
        </w:rPr>
      </w:pPr>
      <w:r>
        <w:rPr>
          <w:rFonts w:hint="eastAsia" w:ascii="仿宋_GB2312" w:hAnsi="仿宋_GB2312" w:eastAsia="仿宋_GB2312"/>
          <w:sz w:val="30"/>
          <w:szCs w:val="24"/>
          <w:lang w:val="zh-CN"/>
        </w:rPr>
        <w:t>十一、政府采购支出情况说明</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9</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十二、国有资产占有使用情况说明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9</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十三、预算绩效情况说明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9</w:t>
      </w:r>
    </w:p>
    <w:p>
      <w:pPr>
        <w:tabs>
          <w:tab w:val="right" w:leader="dot" w:pos="8306"/>
        </w:tabs>
        <w:spacing w:line="700" w:lineRule="exact"/>
        <w:ind w:left="220"/>
        <w:rPr>
          <w:rFonts w:hint="eastAsia" w:ascii="Times New Roman" w:hAnsi="Times New Roman" w:eastAsia="宋体"/>
          <w:sz w:val="30"/>
          <w:szCs w:val="24"/>
          <w:lang w:val="en-US" w:eastAsia="zh-CN"/>
        </w:rPr>
      </w:pPr>
      <w:r>
        <w:rPr>
          <w:rFonts w:hint="eastAsia" w:ascii="仿宋_GB2312" w:hAnsi="仿宋_GB2312" w:eastAsia="仿宋_GB2312"/>
          <w:sz w:val="30"/>
          <w:szCs w:val="24"/>
          <w:lang w:val="zh-CN"/>
        </w:rPr>
        <w:t>十四、教育、医疗卫生、社会保障和就业、住房保障、涉农补贴等民生支出情况说明</w:t>
      </w:r>
      <w:r>
        <w:rPr>
          <w:rFonts w:hint="default" w:ascii="Times New Roman" w:hAnsi="Times New Roman" w:eastAsia="Times New Roman"/>
          <w:sz w:val="30"/>
          <w:szCs w:val="24"/>
          <w:lang w:val="zh-CN"/>
        </w:rPr>
        <w:tab/>
      </w:r>
      <w:r>
        <w:rPr>
          <w:rFonts w:hint="eastAsia" w:ascii="Times New Roman" w:hAnsi="Times New Roman" w:eastAsia="宋体"/>
          <w:sz w:val="30"/>
          <w:szCs w:val="24"/>
          <w:lang w:val="en-US" w:eastAsia="zh-CN"/>
        </w:rPr>
        <w:t>9</w:t>
      </w:r>
    </w:p>
    <w:p>
      <w:pPr>
        <w:tabs>
          <w:tab w:val="right" w:leader="dot" w:pos="8306"/>
        </w:tabs>
        <w:spacing w:line="700" w:lineRule="exact"/>
        <w:rPr>
          <w:rFonts w:hint="eastAsia" w:ascii="Times New Roman" w:hAnsi="Times New Roman" w:eastAsia="宋体"/>
          <w:sz w:val="30"/>
          <w:szCs w:val="24"/>
          <w:lang w:val="en-US" w:eastAsia="zh-CN"/>
        </w:rPr>
      </w:pPr>
      <w:r>
        <w:rPr>
          <w:rFonts w:hint="eastAsia" w:ascii="方正小标宋简体" w:hAnsi="方正小标宋简体" w:eastAsia="方正小标宋简体"/>
          <w:sz w:val="30"/>
          <w:szCs w:val="24"/>
          <w:lang w:val="zh-CN"/>
        </w:rPr>
        <w:t>第四部分  名词解释</w:t>
      </w:r>
      <w:r>
        <w:rPr>
          <w:rFonts w:hint="default" w:ascii="Times New Roman" w:hAnsi="Times New Roman" w:eastAsia="Times New Roman"/>
          <w:sz w:val="30"/>
          <w:szCs w:val="24"/>
          <w:lang w:val="zh-CN"/>
        </w:rPr>
        <w:tab/>
      </w:r>
      <w:r>
        <w:rPr>
          <w:rFonts w:hint="default" w:ascii="Times New Roman" w:hAnsi="Times New Roman" w:eastAsia="Times New Roman"/>
          <w:sz w:val="30"/>
          <w:szCs w:val="24"/>
          <w:lang w:val="zh-CN"/>
        </w:rPr>
        <w:t>1</w:t>
      </w:r>
      <w:r>
        <w:rPr>
          <w:rFonts w:hint="eastAsia" w:ascii="Times New Roman" w:hAnsi="Times New Roman" w:eastAsia="宋体"/>
          <w:sz w:val="30"/>
          <w:szCs w:val="24"/>
          <w:lang w:val="en-US" w:eastAsia="zh-CN"/>
        </w:rPr>
        <w:t>0</w:t>
      </w:r>
    </w:p>
    <w:p>
      <w:pPr>
        <w:spacing w:line="700" w:lineRule="exact"/>
        <w:rPr>
          <w:rFonts w:hint="eastAsia" w:ascii="黑体" w:hAnsi="黑体" w:eastAsia="黑体"/>
          <w:kern w:val="2"/>
          <w:sz w:val="30"/>
          <w:szCs w:val="24"/>
          <w:lang w:val="zh-CN"/>
        </w:rPr>
        <w:sectPr>
          <w:footerReference r:id="rId4" w:type="default"/>
          <w:pgSz w:w="12240" w:h="15840"/>
          <w:pgMar w:top="1440" w:right="1800" w:bottom="1440" w:left="1800" w:header="720" w:footer="720" w:gutter="0"/>
          <w:lnNumType w:countBy="0" w:distance="360"/>
          <w:cols w:space="720" w:num="1"/>
        </w:sectPr>
      </w:pPr>
    </w:p>
    <w:p>
      <w:pPr>
        <w:spacing w:line="700" w:lineRule="exact"/>
        <w:rPr>
          <w:rFonts w:hint="eastAsia" w:ascii="黑体" w:hAnsi="黑体" w:eastAsia="黑体"/>
          <w:kern w:val="2"/>
          <w:sz w:val="30"/>
          <w:szCs w:val="24"/>
          <w:lang w:val="zh-CN"/>
        </w:rPr>
      </w:pPr>
    </w:p>
    <w:p>
      <w:pPr>
        <w:pStyle w:val="2"/>
        <w:keepNext/>
        <w:keepLines/>
        <w:spacing w:line="600" w:lineRule="exact"/>
        <w:jc w:val="center"/>
        <w:rPr>
          <w:rFonts w:hint="eastAsia" w:ascii="方正小标宋简体" w:hAnsi="方正小标宋简体" w:eastAsia="方正小标宋简体"/>
          <w:b/>
          <w:kern w:val="44"/>
          <w:sz w:val="44"/>
          <w:szCs w:val="24"/>
          <w:lang w:val="en-US"/>
        </w:rPr>
      </w:pPr>
      <w:r>
        <w:rPr>
          <w:rFonts w:hint="eastAsia" w:ascii="方正小标宋简体" w:hAnsi="方正小标宋简体" w:eastAsia="方正小标宋简体"/>
          <w:b/>
          <w:kern w:val="44"/>
          <w:sz w:val="44"/>
          <w:szCs w:val="24"/>
          <w:lang w:val="en-US"/>
        </w:rPr>
        <w:t>第一部分  概 况</w:t>
      </w:r>
    </w:p>
    <w:p>
      <w:pPr>
        <w:spacing w:line="580" w:lineRule="exact"/>
        <w:rPr>
          <w:rFonts w:hint="default" w:ascii="Times New Roman" w:hAnsi="Times New Roman" w:eastAsia="Times New Roman"/>
          <w:kern w:val="2"/>
          <w:sz w:val="24"/>
          <w:szCs w:val="24"/>
          <w:lang w:val="zh-CN"/>
        </w:rPr>
      </w:pPr>
    </w:p>
    <w:p>
      <w:pPr>
        <w:pStyle w:val="3"/>
        <w:keepNext/>
        <w:keepLines/>
        <w:spacing w:line="600" w:lineRule="exact"/>
        <w:ind w:firstLine="601"/>
        <w:rPr>
          <w:rFonts w:hint="eastAsia" w:ascii="黑体" w:hAnsi="黑体" w:eastAsia="黑体"/>
          <w:b/>
          <w:sz w:val="30"/>
          <w:szCs w:val="24"/>
          <w:lang w:val="zh-CN"/>
        </w:rPr>
      </w:pPr>
      <w:r>
        <w:rPr>
          <w:rFonts w:hint="eastAsia" w:ascii="黑体" w:hAnsi="黑体" w:eastAsia="黑体"/>
          <w:b/>
          <w:sz w:val="30"/>
          <w:szCs w:val="24"/>
          <w:lang w:val="zh-CN"/>
        </w:rPr>
        <w:t>一、主要职责</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承担疾病预防等公共卫生服务和一般常见病、多发病的基本医疗服务；负债社区预防、保健医疗、康复、健康教育、计划生育等工作。</w:t>
      </w:r>
    </w:p>
    <w:p>
      <w:pPr>
        <w:pStyle w:val="3"/>
        <w:keepNext/>
        <w:keepLines/>
        <w:spacing w:line="600" w:lineRule="exact"/>
        <w:ind w:firstLine="602"/>
        <w:rPr>
          <w:rFonts w:hint="eastAsia" w:ascii="黑体" w:hAnsi="黑体" w:eastAsia="黑体"/>
          <w:b/>
          <w:sz w:val="30"/>
          <w:szCs w:val="24"/>
          <w:lang w:val="zh-CN"/>
        </w:rPr>
      </w:pPr>
      <w:r>
        <w:rPr>
          <w:rFonts w:hint="eastAsia" w:ascii="黑体" w:hAnsi="黑体" w:eastAsia="黑体"/>
          <w:b/>
          <w:sz w:val="30"/>
          <w:szCs w:val="24"/>
          <w:lang w:val="zh-CN"/>
        </w:rPr>
        <w:t>二、机构设置</w:t>
      </w:r>
    </w:p>
    <w:p>
      <w:pPr>
        <w:spacing w:line="580" w:lineRule="exact"/>
        <w:ind w:firstLine="600"/>
        <w:rPr>
          <w:rFonts w:hint="default" w:ascii="Times New Roman" w:hAnsi="Times New Roman" w:eastAsia="Times New Roman"/>
          <w:sz w:val="30"/>
          <w:szCs w:val="24"/>
          <w:lang w:val="en-US"/>
        </w:rPr>
      </w:pPr>
      <w:r>
        <w:rPr>
          <w:rFonts w:hint="eastAsia" w:ascii="仿宋" w:hAnsi="仿宋" w:eastAsia="仿宋"/>
          <w:kern w:val="2"/>
          <w:sz w:val="30"/>
          <w:szCs w:val="24"/>
          <w:lang w:val="zh-CN"/>
        </w:rPr>
        <w:t>天津市西青区大寺镇社区卫生服务中心</w:t>
      </w:r>
      <w:r>
        <w:rPr>
          <w:rFonts w:hint="eastAsia" w:ascii="仿宋_GB2312" w:hAnsi="仿宋_GB2312" w:eastAsia="仿宋_GB2312"/>
          <w:kern w:val="2"/>
          <w:sz w:val="30"/>
          <w:szCs w:val="24"/>
          <w:lang w:val="zh-CN"/>
        </w:rPr>
        <w:t>内设</w:t>
      </w:r>
      <w:r>
        <w:rPr>
          <w:rFonts w:hint="eastAsia" w:ascii="仿宋_GB2312" w:hAnsi="仿宋_GB2312" w:eastAsia="仿宋_GB2312"/>
          <w:kern w:val="2"/>
          <w:sz w:val="30"/>
          <w:szCs w:val="24"/>
          <w:lang w:val="en-US" w:eastAsia="zh-CN"/>
        </w:rPr>
        <w:t>15</w:t>
      </w:r>
      <w:r>
        <w:rPr>
          <w:rFonts w:hint="eastAsia" w:ascii="仿宋_GB2312" w:hAnsi="仿宋_GB2312" w:eastAsia="仿宋_GB2312"/>
          <w:kern w:val="2"/>
          <w:sz w:val="30"/>
          <w:szCs w:val="24"/>
          <w:lang w:val="zh-CN"/>
        </w:rPr>
        <w:t>个职能</w:t>
      </w:r>
      <w:r>
        <w:rPr>
          <w:rFonts w:hint="eastAsia" w:ascii="仿宋_GB2312" w:hAnsi="仿宋_GB2312" w:eastAsia="仿宋_GB2312"/>
          <w:kern w:val="2"/>
          <w:sz w:val="30"/>
          <w:szCs w:val="24"/>
          <w:lang w:val="en-US" w:eastAsia="zh-CN"/>
        </w:rPr>
        <w:t>科</w:t>
      </w:r>
      <w:r>
        <w:rPr>
          <w:rFonts w:hint="eastAsia" w:ascii="仿宋_GB2312" w:hAnsi="仿宋_GB2312" w:eastAsia="仿宋_GB2312"/>
          <w:kern w:val="2"/>
          <w:sz w:val="30"/>
          <w:szCs w:val="24"/>
          <w:lang w:val="zh-CN"/>
        </w:rPr>
        <w:t>室，</w:t>
      </w:r>
      <w:r>
        <w:rPr>
          <w:rFonts w:hint="eastAsia" w:ascii="仿宋_GB2312" w:hAnsi="仿宋_GB2312" w:eastAsia="仿宋_GB2312"/>
          <w:kern w:val="2"/>
          <w:sz w:val="30"/>
          <w:szCs w:val="24"/>
          <w:lang w:val="zh-CN" w:eastAsia="zh-CN"/>
        </w:rPr>
        <w:t>无</w:t>
      </w:r>
      <w:r>
        <w:rPr>
          <w:rFonts w:hint="eastAsia" w:ascii="仿宋_GB2312" w:hAnsi="仿宋_GB2312" w:eastAsia="仿宋_GB2312"/>
          <w:kern w:val="2"/>
          <w:sz w:val="30"/>
          <w:szCs w:val="24"/>
          <w:lang w:val="zh-CN"/>
        </w:rPr>
        <w:t>下辖预算单位。</w:t>
      </w:r>
      <w:r>
        <w:rPr>
          <w:rFonts w:hint="eastAsia" w:ascii="仿宋_GB2312" w:hAnsi="仿宋_GB2312" w:eastAsia="仿宋_GB2312"/>
          <w:sz w:val="30"/>
          <w:szCs w:val="24"/>
          <w:lang w:val="en-US"/>
        </w:rPr>
        <w:t>纳入</w:t>
      </w:r>
      <w:r>
        <w:rPr>
          <w:rFonts w:hint="eastAsia" w:ascii="仿宋" w:hAnsi="仿宋" w:eastAsia="仿宋"/>
          <w:kern w:val="2"/>
          <w:sz w:val="30"/>
          <w:szCs w:val="24"/>
          <w:lang w:val="zh-CN"/>
        </w:rPr>
        <w:t>天津市西青区大寺镇社区卫生服务中心</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年部门决算编制范围的单位包括：</w:t>
      </w:r>
      <w:r>
        <w:rPr>
          <w:rFonts w:hint="eastAsia" w:ascii="仿宋" w:hAnsi="仿宋" w:eastAsia="仿宋"/>
          <w:kern w:val="2"/>
          <w:sz w:val="30"/>
          <w:szCs w:val="24"/>
          <w:lang w:val="zh-CN"/>
        </w:rPr>
        <w:t>天津市西青区大寺镇社区卫生服务中心。</w:t>
      </w:r>
    </w:p>
    <w:p>
      <w:pPr>
        <w:spacing w:line="580" w:lineRule="exact"/>
        <w:ind w:firstLine="600"/>
        <w:rPr>
          <w:rFonts w:hint="eastAsia" w:ascii="仿宋_GB2312" w:hAnsi="仿宋_GB2312" w:eastAsia="仿宋_GB2312"/>
          <w:kern w:val="2"/>
          <w:sz w:val="30"/>
          <w:szCs w:val="24"/>
          <w:lang w:val="zh-CN"/>
        </w:rPr>
      </w:pPr>
    </w:p>
    <w:p>
      <w:pPr>
        <w:pStyle w:val="2"/>
        <w:keepNext/>
        <w:keepLines/>
        <w:spacing w:before="340" w:after="330" w:line="600" w:lineRule="exact"/>
        <w:jc w:val="both"/>
        <w:rPr>
          <w:rFonts w:hint="eastAsia" w:ascii="黑体" w:hAnsi="黑体" w:eastAsia="黑体"/>
          <w:kern w:val="2"/>
          <w:sz w:val="30"/>
          <w:szCs w:val="24"/>
          <w:lang w:val="en-US"/>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spacing w:line="360" w:lineRule="atLeast"/>
        <w:jc w:val="center"/>
        <w:rPr>
          <w:rFonts w:hint="eastAsia" w:ascii="黑体" w:hAnsi="黑体" w:eastAsia="黑体"/>
          <w:kern w:val="2"/>
          <w:sz w:val="30"/>
          <w:szCs w:val="24"/>
          <w:lang w:val="zh-CN"/>
        </w:rPr>
      </w:pPr>
    </w:p>
    <w:p>
      <w:pPr>
        <w:pStyle w:val="2"/>
        <w:keepNext/>
        <w:keepLines/>
        <w:spacing w:line="600" w:lineRule="exact"/>
        <w:jc w:val="center"/>
        <w:rPr>
          <w:rFonts w:hint="eastAsia" w:ascii="方正小标宋简体" w:hAnsi="方正小标宋简体" w:eastAsia="方正小标宋简体"/>
          <w:b/>
          <w:kern w:val="44"/>
          <w:sz w:val="44"/>
          <w:szCs w:val="24"/>
          <w:lang w:val="en-US"/>
        </w:rPr>
      </w:pPr>
      <w:r>
        <w:rPr>
          <w:rFonts w:hint="eastAsia" w:ascii="方正小标宋简体" w:hAnsi="方正小标宋简体" w:eastAsia="方正小标宋简体"/>
          <w:b/>
          <w:kern w:val="44"/>
          <w:sz w:val="44"/>
          <w:szCs w:val="24"/>
          <w:lang w:val="zh-CN"/>
        </w:rPr>
        <w:t xml:space="preserve">第二部分 </w:t>
      </w:r>
      <w:r>
        <w:rPr>
          <w:rFonts w:hint="eastAsia" w:ascii="方正小标宋简体" w:hAnsi="方正小标宋简体" w:eastAsia="方正小标宋简体"/>
          <w:b/>
          <w:kern w:val="44"/>
          <w:sz w:val="44"/>
          <w:szCs w:val="24"/>
          <w:lang w:val="en-US"/>
        </w:rPr>
        <w:t xml:space="preserve"> 2021年度部门决算表</w:t>
      </w:r>
    </w:p>
    <w:p>
      <w:pPr>
        <w:rPr>
          <w:rFonts w:hint="default" w:ascii="Times New Roman" w:hAnsi="Times New Roman" w:eastAsia="Times New Roman"/>
          <w:sz w:val="24"/>
          <w:szCs w:val="24"/>
          <w:lang w:val="en-US"/>
        </w:rPr>
      </w:pP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一、《收入支出决算总表》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二、《收入决算表（按功能分类列示）》</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三、《收入决算表（按单位列示）》</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四、《支出决算表》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五、《财政拨款收入支出决算总表》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六、《一般公共预算财政拨款支出决算表》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七、《一般公共预算财政拨款基本支出决算表》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八、《一般公共预算财政拨款“三公”经费支出决算表》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九、《政府性基金预算财政拨款收入支出决算表》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十、《国有资本经营预算财政拨款收入支出决算表》</w:t>
      </w:r>
    </w:p>
    <w:p>
      <w:pPr>
        <w:pStyle w:val="3"/>
        <w:keepNext/>
        <w:keepLines/>
        <w:spacing w:line="800" w:lineRule="exact"/>
        <w:ind w:firstLine="600"/>
        <w:rPr>
          <w:rFonts w:hint="eastAsia" w:ascii="黑体" w:hAnsi="黑体" w:eastAsia="黑体"/>
          <w:sz w:val="30"/>
          <w:szCs w:val="24"/>
          <w:lang w:val="en-US"/>
        </w:rPr>
      </w:pPr>
      <w:r>
        <w:rPr>
          <w:rFonts w:hint="eastAsia" w:ascii="黑体" w:hAnsi="黑体" w:eastAsia="黑体"/>
          <w:sz w:val="30"/>
          <w:szCs w:val="24"/>
          <w:lang w:val="en-US"/>
        </w:rPr>
        <w:t>十一、《项目支出决算表》</w:t>
      </w:r>
    </w:p>
    <w:p>
      <w:pPr>
        <w:spacing w:line="800" w:lineRule="exact"/>
        <w:rPr>
          <w:rFonts w:hint="eastAsia" w:ascii="楷体" w:hAnsi="楷体" w:eastAsia="楷体"/>
          <w:sz w:val="30"/>
          <w:szCs w:val="24"/>
          <w:lang w:val="en-US"/>
        </w:rPr>
      </w:pPr>
      <w:r>
        <w:rPr>
          <w:rFonts w:hint="eastAsia" w:ascii="楷体" w:hAnsi="楷体" w:eastAsia="楷体"/>
          <w:sz w:val="30"/>
          <w:szCs w:val="24"/>
          <w:lang w:val="en-US"/>
        </w:rPr>
        <w:t>注：以上决算公开表均作为附表，附于决算公开说明文档后。</w:t>
      </w:r>
    </w:p>
    <w:p>
      <w:pPr>
        <w:spacing w:line="600" w:lineRule="exact"/>
        <w:rPr>
          <w:rFonts w:hint="default" w:ascii="Times New Roman" w:hAnsi="Times New Roman" w:eastAsia="Times New Roman"/>
          <w:sz w:val="24"/>
          <w:szCs w:val="24"/>
          <w:lang w:val="en-US"/>
        </w:rPr>
      </w:pPr>
    </w:p>
    <w:p>
      <w:pPr>
        <w:spacing w:line="600" w:lineRule="exact"/>
        <w:rPr>
          <w:rFonts w:hint="default" w:ascii="Times New Roman" w:hAnsi="Times New Roman" w:eastAsia="Times New Roman"/>
          <w:sz w:val="24"/>
          <w:szCs w:val="24"/>
          <w:lang w:val="en-US"/>
        </w:rPr>
      </w:pPr>
    </w:p>
    <w:p>
      <w:pPr>
        <w:pStyle w:val="3"/>
        <w:keepNext/>
        <w:keepLines/>
        <w:spacing w:line="640" w:lineRule="exact"/>
        <w:ind w:firstLine="600"/>
        <w:rPr>
          <w:rFonts w:hint="eastAsia" w:ascii="黑体" w:hAnsi="黑体" w:eastAsia="黑体"/>
          <w:sz w:val="30"/>
          <w:szCs w:val="24"/>
          <w:lang w:val="en-US"/>
        </w:rPr>
      </w:pPr>
      <w:r>
        <w:rPr>
          <w:rFonts w:hint="eastAsia" w:ascii="黑体" w:hAnsi="黑体" w:eastAsia="黑体"/>
          <w:sz w:val="30"/>
          <w:szCs w:val="24"/>
          <w:lang w:val="en-US"/>
        </w:rPr>
        <w:t>十二、关于空表的说明</w:t>
      </w:r>
    </w:p>
    <w:p>
      <w:pPr>
        <w:spacing w:line="640" w:lineRule="exact"/>
        <w:ind w:firstLine="600"/>
        <w:rPr>
          <w:rFonts w:hint="eastAsia" w:ascii="楷体" w:hAnsi="楷体" w:eastAsia="楷体"/>
          <w:sz w:val="30"/>
          <w:szCs w:val="24"/>
          <w:lang w:val="en-US"/>
        </w:rPr>
      </w:pPr>
      <w:r>
        <w:rPr>
          <w:rFonts w:hint="eastAsia" w:ascii="楷体" w:hAnsi="楷体" w:eastAsia="楷体"/>
          <w:sz w:val="30"/>
          <w:szCs w:val="24"/>
          <w:lang w:val="en-US"/>
        </w:rPr>
        <w:t>1.天津市</w:t>
      </w:r>
      <w:r>
        <w:rPr>
          <w:rFonts w:hint="eastAsia" w:ascii="楷体" w:hAnsi="楷体" w:eastAsia="楷体"/>
          <w:sz w:val="30"/>
          <w:szCs w:val="24"/>
          <w:lang w:val="en-US" w:eastAsia="zh-CN"/>
        </w:rPr>
        <w:t>西青区大寺镇社区卫生服务中心</w:t>
      </w:r>
      <w:r>
        <w:rPr>
          <w:rFonts w:hint="eastAsia" w:ascii="楷体" w:hAnsi="楷体" w:eastAsia="楷体"/>
          <w:sz w:val="30"/>
          <w:szCs w:val="24"/>
          <w:lang w:val="en-US"/>
        </w:rPr>
        <w:t>2021年度一般公共预算财政拨款“三公”经费支出决算表为空表。</w:t>
      </w:r>
    </w:p>
    <w:p>
      <w:pPr>
        <w:spacing w:line="640" w:lineRule="exact"/>
        <w:ind w:firstLine="600"/>
        <w:rPr>
          <w:rFonts w:hint="eastAsia" w:ascii="楷体" w:hAnsi="楷体" w:eastAsia="楷体"/>
          <w:sz w:val="30"/>
          <w:szCs w:val="24"/>
          <w:lang w:val="en-US"/>
        </w:rPr>
      </w:pPr>
      <w:r>
        <w:rPr>
          <w:rFonts w:hint="eastAsia" w:ascii="楷体" w:hAnsi="楷体" w:eastAsia="楷体"/>
          <w:sz w:val="30"/>
          <w:szCs w:val="24"/>
          <w:lang w:val="en-US" w:eastAsia="zh-CN"/>
        </w:rPr>
        <w:t>2</w:t>
      </w:r>
      <w:r>
        <w:rPr>
          <w:rFonts w:hint="eastAsia" w:ascii="楷体" w:hAnsi="楷体" w:eastAsia="楷体"/>
          <w:sz w:val="30"/>
          <w:szCs w:val="24"/>
          <w:lang w:val="en-US"/>
        </w:rPr>
        <w:t>.天津市</w:t>
      </w:r>
      <w:r>
        <w:rPr>
          <w:rFonts w:hint="eastAsia" w:ascii="楷体" w:hAnsi="楷体" w:eastAsia="楷体"/>
          <w:sz w:val="30"/>
          <w:szCs w:val="24"/>
          <w:lang w:val="en-US" w:eastAsia="zh-CN"/>
        </w:rPr>
        <w:t>西青区大寺镇社区卫生服务中心</w:t>
      </w:r>
      <w:r>
        <w:rPr>
          <w:rFonts w:hint="eastAsia" w:ascii="楷体" w:hAnsi="楷体" w:eastAsia="楷体"/>
          <w:sz w:val="30"/>
          <w:szCs w:val="24"/>
          <w:lang w:val="en-US"/>
        </w:rPr>
        <w:t>2021年度政府性基金预算财政拨款收入支出决算表为空表。</w:t>
      </w:r>
    </w:p>
    <w:p>
      <w:pPr>
        <w:spacing w:line="640" w:lineRule="exact"/>
        <w:ind w:firstLine="600"/>
        <w:rPr>
          <w:rFonts w:hint="eastAsia" w:ascii="楷体" w:hAnsi="楷体" w:eastAsia="楷体"/>
          <w:sz w:val="30"/>
          <w:szCs w:val="24"/>
          <w:lang w:val="en-US"/>
        </w:rPr>
      </w:pPr>
      <w:r>
        <w:rPr>
          <w:rFonts w:hint="eastAsia" w:ascii="楷体" w:hAnsi="楷体" w:eastAsia="楷体"/>
          <w:sz w:val="30"/>
          <w:szCs w:val="24"/>
          <w:lang w:val="en-US" w:eastAsia="zh-CN"/>
        </w:rPr>
        <w:t>3</w:t>
      </w:r>
      <w:r>
        <w:rPr>
          <w:rFonts w:hint="eastAsia" w:ascii="楷体" w:hAnsi="楷体" w:eastAsia="楷体"/>
          <w:sz w:val="30"/>
          <w:szCs w:val="24"/>
          <w:lang w:val="en-US"/>
        </w:rPr>
        <w:t>.天津市</w:t>
      </w:r>
      <w:r>
        <w:rPr>
          <w:rFonts w:hint="eastAsia" w:ascii="楷体" w:hAnsi="楷体" w:eastAsia="楷体"/>
          <w:sz w:val="30"/>
          <w:szCs w:val="24"/>
          <w:lang w:val="en-US" w:eastAsia="zh-CN"/>
        </w:rPr>
        <w:t>西青区大寺镇社区卫生服务中心</w:t>
      </w:r>
      <w:r>
        <w:rPr>
          <w:rFonts w:hint="eastAsia" w:ascii="楷体" w:hAnsi="楷体" w:eastAsia="楷体"/>
          <w:sz w:val="30"/>
          <w:szCs w:val="24"/>
          <w:lang w:val="en-US"/>
        </w:rPr>
        <w:t>2021年度国有资本经营预算财政拨款收入支出决算表为空表。</w:t>
      </w: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en-US"/>
        </w:rPr>
      </w:pPr>
    </w:p>
    <w:p>
      <w:pPr>
        <w:spacing w:line="640" w:lineRule="exact"/>
        <w:ind w:firstLine="600"/>
        <w:rPr>
          <w:rFonts w:hint="eastAsia" w:ascii="楷体" w:hAnsi="楷体" w:eastAsia="楷体"/>
          <w:sz w:val="30"/>
          <w:szCs w:val="24"/>
          <w:lang w:val="zh-CN"/>
        </w:rPr>
      </w:pPr>
    </w:p>
    <w:p>
      <w:pPr>
        <w:pStyle w:val="2"/>
        <w:keepNext/>
        <w:keepLines/>
        <w:spacing w:line="600" w:lineRule="exact"/>
        <w:jc w:val="center"/>
        <w:rPr>
          <w:rFonts w:hint="eastAsia" w:ascii="方正小标宋简体" w:hAnsi="方正小标宋简体" w:eastAsia="方正小标宋简体"/>
          <w:b/>
          <w:kern w:val="44"/>
          <w:sz w:val="44"/>
          <w:szCs w:val="24"/>
          <w:lang w:val="en-US"/>
        </w:rPr>
      </w:pPr>
    </w:p>
    <w:p>
      <w:pPr>
        <w:pStyle w:val="2"/>
        <w:keepNext/>
        <w:keepLines/>
        <w:spacing w:line="600" w:lineRule="exact"/>
        <w:jc w:val="center"/>
        <w:rPr>
          <w:rFonts w:hint="eastAsia" w:ascii="方正小标宋简体" w:hAnsi="方正小标宋简体" w:eastAsia="方正小标宋简体"/>
          <w:b/>
          <w:kern w:val="44"/>
          <w:sz w:val="44"/>
          <w:szCs w:val="24"/>
          <w:lang w:val="en-US"/>
        </w:rPr>
      </w:pPr>
      <w:r>
        <w:rPr>
          <w:rFonts w:hint="eastAsia" w:ascii="方正小标宋简体" w:hAnsi="方正小标宋简体" w:eastAsia="方正小标宋简体"/>
          <w:b/>
          <w:kern w:val="44"/>
          <w:sz w:val="44"/>
          <w:szCs w:val="24"/>
          <w:lang w:val="en-US"/>
        </w:rPr>
        <w:t>第三部分  2021年度部门决算情况说明</w:t>
      </w:r>
    </w:p>
    <w:p>
      <w:pPr>
        <w:spacing w:line="580" w:lineRule="exact"/>
        <w:ind w:firstLine="600"/>
        <w:rPr>
          <w:rFonts w:hint="eastAsia" w:ascii="黑体" w:hAnsi="黑体" w:eastAsia="黑体"/>
          <w:kern w:val="2"/>
          <w:sz w:val="30"/>
          <w:szCs w:val="24"/>
          <w:lang w:val="zh-CN"/>
        </w:rPr>
      </w:pPr>
    </w:p>
    <w:p>
      <w:pPr>
        <w:pStyle w:val="3"/>
        <w:keepNext/>
        <w:keepLines/>
        <w:spacing w:line="600" w:lineRule="exact"/>
        <w:ind w:firstLine="602"/>
        <w:rPr>
          <w:rFonts w:hint="eastAsia" w:ascii="黑体" w:hAnsi="黑体" w:eastAsia="黑体"/>
          <w:b/>
          <w:sz w:val="30"/>
          <w:szCs w:val="24"/>
          <w:lang w:val="zh-CN"/>
        </w:rPr>
      </w:pPr>
      <w:r>
        <w:rPr>
          <w:rFonts w:hint="eastAsia" w:ascii="黑体" w:hAnsi="黑体" w:eastAsia="黑体"/>
          <w:b/>
          <w:sz w:val="30"/>
          <w:szCs w:val="24"/>
          <w:lang w:val="zh-CN"/>
        </w:rPr>
        <w:t>一、收入支出决算总体情况说明</w:t>
      </w:r>
    </w:p>
    <w:p>
      <w:pPr>
        <w:spacing w:line="580" w:lineRule="exact"/>
        <w:ind w:firstLine="602"/>
        <w:rPr>
          <w:rFonts w:hint="eastAsia" w:ascii="仿宋_GB2312" w:hAnsi="仿宋_GB2312" w:eastAsia="仿宋_GB2312"/>
          <w:sz w:val="30"/>
          <w:szCs w:val="24"/>
          <w:lang w:val="zh-CN"/>
        </w:rPr>
      </w:pPr>
      <w:r>
        <w:rPr>
          <w:rFonts w:hint="eastAsia" w:ascii="仿宋" w:hAnsi="仿宋" w:eastAsia="仿宋"/>
          <w:sz w:val="30"/>
          <w:szCs w:val="24"/>
          <w:lang w:val="zh-CN"/>
        </w:rPr>
        <w:t>天津市西青区大寺镇社区卫生服务中心</w:t>
      </w:r>
      <w:r>
        <w:rPr>
          <w:rFonts w:hint="default" w:ascii="Times New Roman" w:hAnsi="Times New Roman" w:eastAsia="Times New Roman"/>
          <w:sz w:val="30"/>
          <w:szCs w:val="24"/>
          <w:lang w:val="zh-CN"/>
        </w:rPr>
        <w:t>2021</w:t>
      </w:r>
      <w:r>
        <w:rPr>
          <w:rFonts w:hint="eastAsia" w:ascii="仿宋_GB2312" w:hAnsi="仿宋_GB2312" w:eastAsia="仿宋_GB2312"/>
          <w:sz w:val="30"/>
          <w:szCs w:val="24"/>
          <w:lang w:val="zh-CN"/>
        </w:rPr>
        <w:t>年度收入、支出决算总计</w:t>
      </w:r>
      <w:r>
        <w:rPr>
          <w:rFonts w:hint="default" w:ascii="Times New Roman" w:hAnsi="Times New Roman" w:eastAsia="Times New Roman"/>
          <w:kern w:val="2"/>
          <w:sz w:val="30"/>
          <w:szCs w:val="24"/>
          <w:lang w:val="zh-CN"/>
        </w:rPr>
        <w:t>57,523,924.07</w:t>
      </w:r>
      <w:r>
        <w:rPr>
          <w:rFonts w:hint="eastAsia" w:ascii="仿宋_GB2312" w:hAnsi="仿宋_GB2312" w:eastAsia="仿宋_GB2312"/>
          <w:sz w:val="30"/>
          <w:szCs w:val="24"/>
          <w:lang w:val="en-US"/>
        </w:rPr>
        <w:t>元，与</w:t>
      </w:r>
      <w:r>
        <w:rPr>
          <w:rFonts w:hint="default" w:ascii="Times New Roman" w:hAnsi="Times New Roman" w:eastAsia="Times New Roman"/>
          <w:sz w:val="30"/>
          <w:szCs w:val="24"/>
          <w:lang w:val="en-US"/>
        </w:rPr>
        <w:t>2020</w:t>
      </w:r>
      <w:r>
        <w:rPr>
          <w:rFonts w:hint="eastAsia" w:ascii="仿宋_GB2312" w:hAnsi="仿宋_GB2312" w:eastAsia="仿宋_GB2312"/>
          <w:sz w:val="30"/>
          <w:szCs w:val="24"/>
          <w:lang w:val="en-US"/>
        </w:rPr>
        <w:t>年度相比，收、支总计各</w:t>
      </w:r>
      <w:r>
        <w:rPr>
          <w:rFonts w:hint="eastAsia" w:ascii="仿宋_GB2312" w:hAnsi="仿宋_GB2312" w:eastAsia="仿宋_GB2312"/>
          <w:kern w:val="2"/>
          <w:sz w:val="30"/>
          <w:szCs w:val="24"/>
          <w:lang w:val="en-US"/>
        </w:rPr>
        <w:t>减少</w:t>
      </w:r>
      <w:r>
        <w:rPr>
          <w:rFonts w:hint="default" w:ascii="Times New Roman" w:hAnsi="Times New Roman" w:eastAsia="Times New Roman"/>
          <w:kern w:val="2"/>
          <w:sz w:val="30"/>
          <w:szCs w:val="24"/>
          <w:lang w:val="en-US"/>
        </w:rPr>
        <w:t>2,007,275.91</w:t>
      </w:r>
      <w:r>
        <w:rPr>
          <w:rFonts w:hint="eastAsia" w:ascii="仿宋_GB2312" w:hAnsi="仿宋_GB2312" w:eastAsia="仿宋_GB2312"/>
          <w:sz w:val="30"/>
          <w:szCs w:val="24"/>
          <w:lang w:val="en-US"/>
        </w:rPr>
        <w:t>元</w:t>
      </w:r>
      <w:r>
        <w:rPr>
          <w:rFonts w:hint="eastAsia" w:ascii="仿宋_GB2312" w:hAnsi="仿宋_GB2312" w:eastAsia="仿宋_GB2312"/>
          <w:kern w:val="2"/>
          <w:sz w:val="30"/>
          <w:szCs w:val="24"/>
          <w:lang w:val="en-US"/>
        </w:rPr>
        <w:t>，下降</w:t>
      </w:r>
      <w:r>
        <w:rPr>
          <w:rFonts w:hint="default" w:ascii="Times New Roman" w:hAnsi="Times New Roman" w:eastAsia="Times New Roman"/>
          <w:kern w:val="2"/>
          <w:sz w:val="30"/>
          <w:szCs w:val="24"/>
          <w:lang w:val="en-US"/>
        </w:rPr>
        <w:t>3.37</w:t>
      </w:r>
      <w:r>
        <w:rPr>
          <w:rFonts w:hint="eastAsia" w:ascii="仿宋_GB2312" w:hAnsi="仿宋_GB2312" w:eastAsia="仿宋_GB2312"/>
          <w:kern w:val="2"/>
          <w:sz w:val="30"/>
          <w:szCs w:val="24"/>
          <w:lang w:val="en-US"/>
        </w:rPr>
        <w:t>%，</w:t>
      </w:r>
      <w:r>
        <w:rPr>
          <w:rFonts w:hint="eastAsia" w:ascii="仿宋_GB2312" w:hAnsi="仿宋_GB2312" w:eastAsia="仿宋_GB2312"/>
          <w:sz w:val="30"/>
          <w:szCs w:val="24"/>
          <w:lang w:val="zh-CN"/>
        </w:rPr>
        <w:t>主要原因是：资本性支出减少。</w:t>
      </w:r>
    </w:p>
    <w:p>
      <w:pPr>
        <w:pStyle w:val="3"/>
        <w:keepNext/>
        <w:keepLines/>
        <w:spacing w:line="600" w:lineRule="exact"/>
        <w:ind w:firstLine="602"/>
        <w:rPr>
          <w:rFonts w:hint="eastAsia" w:ascii="黑体" w:hAnsi="黑体" w:eastAsia="黑体"/>
          <w:b/>
          <w:sz w:val="30"/>
          <w:szCs w:val="24"/>
          <w:lang w:val="zh-CN"/>
        </w:rPr>
      </w:pPr>
      <w:r>
        <w:rPr>
          <w:rFonts w:hint="eastAsia" w:ascii="黑体" w:hAnsi="黑体" w:eastAsia="黑体"/>
          <w:b/>
          <w:sz w:val="30"/>
          <w:szCs w:val="24"/>
          <w:lang w:val="zh-CN"/>
        </w:rPr>
        <w:t>二、</w:t>
      </w:r>
      <w:r>
        <w:rPr>
          <w:rFonts w:hint="eastAsia" w:ascii="黑体" w:hAnsi="黑体" w:eastAsia="黑体"/>
          <w:b/>
          <w:sz w:val="30"/>
          <w:szCs w:val="24"/>
          <w:lang w:val="en-US"/>
        </w:rPr>
        <w:t>收入决算情况</w:t>
      </w:r>
      <w:r>
        <w:rPr>
          <w:rFonts w:hint="eastAsia" w:ascii="黑体" w:hAnsi="黑体" w:eastAsia="黑体"/>
          <w:b/>
          <w:sz w:val="30"/>
          <w:szCs w:val="24"/>
          <w:lang w:val="zh-CN"/>
        </w:rPr>
        <w:t>说明</w:t>
      </w:r>
    </w:p>
    <w:p>
      <w:pPr>
        <w:spacing w:line="600" w:lineRule="exact"/>
        <w:ind w:firstLine="600"/>
        <w:rPr>
          <w:rFonts w:hint="eastAsia" w:ascii="仿宋_GB2312" w:hAnsi="仿宋_GB2312" w:eastAsia="仿宋_GB2312"/>
          <w:kern w:val="2"/>
          <w:sz w:val="30"/>
          <w:szCs w:val="24"/>
          <w:lang w:val="en-US"/>
        </w:rPr>
      </w:pPr>
      <w:r>
        <w:rPr>
          <w:rFonts w:hint="eastAsia" w:ascii="仿宋_GB2312" w:hAnsi="仿宋_GB2312" w:eastAsia="仿宋_GB2312"/>
          <w:kern w:val="2"/>
          <w:sz w:val="30"/>
          <w:szCs w:val="24"/>
          <w:lang w:val="zh-CN"/>
        </w:rPr>
        <w:t>天津市西青区大寺镇社区卫生服务中心</w:t>
      </w:r>
      <w:r>
        <w:rPr>
          <w:rFonts w:hint="default" w:ascii="Times New Roman" w:hAnsi="Times New Roman" w:eastAsia="Times New Roman"/>
          <w:kern w:val="2"/>
          <w:sz w:val="30"/>
          <w:szCs w:val="24"/>
          <w:lang w:val="zh-CN"/>
        </w:rPr>
        <w:t>2021</w:t>
      </w:r>
      <w:r>
        <w:rPr>
          <w:rFonts w:hint="eastAsia" w:ascii="仿宋_GB2312" w:hAnsi="仿宋_GB2312" w:eastAsia="仿宋_GB2312"/>
          <w:kern w:val="2"/>
          <w:sz w:val="30"/>
          <w:szCs w:val="24"/>
          <w:lang w:val="zh-CN"/>
        </w:rPr>
        <w:t>年度本年收入合计</w:t>
      </w:r>
      <w:r>
        <w:rPr>
          <w:rFonts w:hint="default" w:ascii="Times New Roman" w:hAnsi="Times New Roman" w:eastAsia="Times New Roman"/>
          <w:kern w:val="2"/>
          <w:sz w:val="30"/>
          <w:szCs w:val="24"/>
          <w:lang w:val="zh-CN"/>
        </w:rPr>
        <w:t>54,466,986.25</w:t>
      </w:r>
      <w:r>
        <w:rPr>
          <w:rFonts w:hint="eastAsia" w:ascii="仿宋_GB2312" w:hAnsi="仿宋_GB2312" w:eastAsia="仿宋_GB2312"/>
          <w:kern w:val="2"/>
          <w:sz w:val="30"/>
          <w:szCs w:val="24"/>
          <w:lang w:val="en-US"/>
        </w:rPr>
        <w:t>元，与</w:t>
      </w:r>
      <w:r>
        <w:rPr>
          <w:rFonts w:hint="default" w:ascii="Times New Roman" w:hAnsi="Times New Roman" w:eastAsia="Times New Roman"/>
          <w:kern w:val="2"/>
          <w:sz w:val="30"/>
          <w:szCs w:val="24"/>
          <w:lang w:val="en-US"/>
        </w:rPr>
        <w:t>2020</w:t>
      </w:r>
      <w:r>
        <w:rPr>
          <w:rFonts w:hint="eastAsia" w:ascii="仿宋_GB2312" w:hAnsi="仿宋_GB2312" w:eastAsia="仿宋_GB2312"/>
          <w:kern w:val="2"/>
          <w:sz w:val="30"/>
          <w:szCs w:val="24"/>
          <w:lang w:val="en-US"/>
        </w:rPr>
        <w:t>年度相比增加</w:t>
      </w:r>
      <w:r>
        <w:rPr>
          <w:rFonts w:hint="default" w:ascii="Times New Roman" w:hAnsi="Times New Roman" w:eastAsia="Times New Roman"/>
          <w:kern w:val="2"/>
          <w:sz w:val="30"/>
          <w:szCs w:val="24"/>
          <w:lang w:val="en-US"/>
        </w:rPr>
        <w:t>3,364,430.91</w:t>
      </w:r>
      <w:r>
        <w:rPr>
          <w:rFonts w:hint="eastAsia" w:ascii="仿宋_GB2312" w:hAnsi="仿宋_GB2312" w:eastAsia="仿宋_GB2312"/>
          <w:kern w:val="2"/>
          <w:sz w:val="30"/>
          <w:szCs w:val="24"/>
          <w:lang w:val="en-US"/>
        </w:rPr>
        <w:t>元，</w:t>
      </w:r>
      <w:r>
        <w:rPr>
          <w:rFonts w:hint="eastAsia" w:ascii="仿宋_GB2312" w:hAnsi="仿宋_GB2312" w:eastAsia="仿宋_GB2312"/>
          <w:sz w:val="30"/>
          <w:szCs w:val="24"/>
          <w:lang w:val="zh-CN"/>
        </w:rPr>
        <w:t>主要原因是：业务收入增加</w:t>
      </w:r>
      <w:r>
        <w:rPr>
          <w:rFonts w:hint="eastAsia" w:ascii="楷体_GB2312" w:hAnsi="楷体_GB2312" w:eastAsia="楷体_GB2312"/>
          <w:kern w:val="2"/>
          <w:sz w:val="30"/>
          <w:szCs w:val="24"/>
          <w:lang w:val="zh-CN"/>
        </w:rPr>
        <w:t>。</w:t>
      </w:r>
      <w:r>
        <w:rPr>
          <w:rFonts w:hint="eastAsia" w:ascii="仿宋_GB2312" w:hAnsi="仿宋_GB2312" w:eastAsia="仿宋_GB2312"/>
          <w:kern w:val="2"/>
          <w:sz w:val="30"/>
          <w:szCs w:val="24"/>
          <w:lang w:val="en-US"/>
        </w:rPr>
        <w:t>其中：</w:t>
      </w:r>
      <w:r>
        <w:rPr>
          <w:rFonts w:hint="eastAsia" w:ascii="仿宋_GB2312" w:hAnsi="仿宋_GB2312" w:eastAsia="仿宋_GB2312"/>
          <w:kern w:val="2"/>
          <w:sz w:val="30"/>
          <w:szCs w:val="24"/>
          <w:lang w:val="zh-CN"/>
        </w:rPr>
        <w:t>一般公共预算财政拨款收入22,595,492.93元，占41.48%；事业收入31,871,493.32元，占58.52%；</w:t>
      </w:r>
    </w:p>
    <w:p>
      <w:pPr>
        <w:pStyle w:val="3"/>
        <w:keepNext/>
        <w:keepLines/>
        <w:spacing w:line="600" w:lineRule="exact"/>
        <w:ind w:firstLine="602"/>
        <w:rPr>
          <w:rFonts w:hint="eastAsia" w:ascii="黑体" w:hAnsi="黑体" w:eastAsia="黑体"/>
          <w:b/>
          <w:sz w:val="30"/>
          <w:szCs w:val="24"/>
          <w:lang w:val="en-US"/>
        </w:rPr>
      </w:pPr>
      <w:r>
        <w:rPr>
          <w:rFonts w:hint="eastAsia" w:ascii="黑体" w:hAnsi="黑体" w:eastAsia="黑体"/>
          <w:b/>
          <w:sz w:val="30"/>
          <w:szCs w:val="24"/>
          <w:lang w:val="zh-CN"/>
        </w:rPr>
        <w:t>三、支出</w:t>
      </w:r>
      <w:r>
        <w:rPr>
          <w:rFonts w:hint="eastAsia" w:ascii="黑体" w:hAnsi="黑体" w:eastAsia="黑体"/>
          <w:b/>
          <w:sz w:val="30"/>
          <w:szCs w:val="24"/>
          <w:lang w:val="en-US"/>
        </w:rPr>
        <w:t>决算情况说明</w:t>
      </w:r>
    </w:p>
    <w:p>
      <w:pPr>
        <w:spacing w:line="580" w:lineRule="exact"/>
        <w:ind w:firstLine="600"/>
        <w:rPr>
          <w:rFonts w:hint="eastAsia" w:ascii="仿宋_GB2312" w:hAnsi="仿宋_GB2312" w:eastAsia="仿宋_GB2312"/>
          <w:kern w:val="2"/>
          <w:sz w:val="30"/>
          <w:szCs w:val="24"/>
          <w:lang w:val="en-US"/>
        </w:rPr>
      </w:pPr>
      <w:r>
        <w:rPr>
          <w:rFonts w:hint="eastAsia" w:ascii="仿宋_GB2312" w:hAnsi="仿宋_GB2312" w:eastAsia="仿宋_GB2312"/>
          <w:kern w:val="2"/>
          <w:sz w:val="30"/>
          <w:szCs w:val="24"/>
          <w:lang w:val="en-US"/>
        </w:rPr>
        <w:t>天津市西青区大寺镇社区卫生服务中心</w:t>
      </w:r>
      <w:r>
        <w:rPr>
          <w:rFonts w:hint="default" w:ascii="Times New Roman" w:hAnsi="Times New Roman" w:eastAsia="Times New Roman"/>
          <w:kern w:val="2"/>
          <w:sz w:val="30"/>
          <w:szCs w:val="24"/>
          <w:lang w:val="en-US"/>
        </w:rPr>
        <w:t>2021</w:t>
      </w:r>
      <w:r>
        <w:rPr>
          <w:rFonts w:hint="eastAsia" w:ascii="仿宋_GB2312" w:hAnsi="仿宋_GB2312" w:eastAsia="仿宋_GB2312"/>
          <w:kern w:val="2"/>
          <w:sz w:val="30"/>
          <w:szCs w:val="24"/>
          <w:lang w:val="en-US"/>
        </w:rPr>
        <w:t>年度本年支出合计</w:t>
      </w:r>
      <w:r>
        <w:rPr>
          <w:rFonts w:hint="default" w:ascii="Times New Roman" w:hAnsi="Times New Roman" w:eastAsia="Times New Roman"/>
          <w:kern w:val="2"/>
          <w:sz w:val="30"/>
          <w:szCs w:val="24"/>
          <w:lang w:val="en-US"/>
        </w:rPr>
        <w:t>54,453,196.80</w:t>
      </w:r>
      <w:r>
        <w:rPr>
          <w:rFonts w:hint="eastAsia" w:ascii="仿宋_GB2312" w:hAnsi="仿宋_GB2312" w:eastAsia="仿宋_GB2312"/>
          <w:kern w:val="2"/>
          <w:sz w:val="30"/>
          <w:szCs w:val="24"/>
          <w:lang w:val="en-US"/>
        </w:rPr>
        <w:t>元，与</w:t>
      </w:r>
      <w:r>
        <w:rPr>
          <w:rFonts w:hint="default" w:ascii="Times New Roman" w:hAnsi="Times New Roman" w:eastAsia="Times New Roman"/>
          <w:kern w:val="2"/>
          <w:sz w:val="30"/>
          <w:szCs w:val="24"/>
          <w:lang w:val="en-US"/>
        </w:rPr>
        <w:t>2020</w:t>
      </w:r>
      <w:r>
        <w:rPr>
          <w:rFonts w:hint="eastAsia" w:ascii="仿宋_GB2312" w:hAnsi="仿宋_GB2312" w:eastAsia="仿宋_GB2312"/>
          <w:kern w:val="2"/>
          <w:sz w:val="30"/>
          <w:szCs w:val="24"/>
          <w:lang w:val="en-US"/>
        </w:rPr>
        <w:t>年度相比增加</w:t>
      </w:r>
      <w:r>
        <w:rPr>
          <w:rFonts w:hint="default" w:ascii="Times New Roman" w:hAnsi="Times New Roman" w:eastAsia="Times New Roman"/>
          <w:kern w:val="2"/>
          <w:sz w:val="30"/>
          <w:szCs w:val="24"/>
          <w:lang w:val="en-US"/>
        </w:rPr>
        <w:t>531,762.78</w:t>
      </w:r>
      <w:r>
        <w:rPr>
          <w:rFonts w:hint="eastAsia" w:ascii="仿宋_GB2312" w:hAnsi="仿宋_GB2312" w:eastAsia="仿宋_GB2312"/>
          <w:kern w:val="2"/>
          <w:sz w:val="30"/>
          <w:szCs w:val="24"/>
          <w:lang w:val="en-US"/>
        </w:rPr>
        <w:t>元，</w:t>
      </w:r>
      <w:r>
        <w:rPr>
          <w:rFonts w:hint="eastAsia" w:ascii="仿宋_GB2312" w:hAnsi="仿宋_GB2312" w:eastAsia="仿宋_GB2312"/>
          <w:kern w:val="2"/>
          <w:sz w:val="30"/>
          <w:szCs w:val="24"/>
          <w:lang w:val="zh-CN"/>
        </w:rPr>
        <w:t>主要原因是：人员增加、业务支出增加</w:t>
      </w:r>
      <w:r>
        <w:rPr>
          <w:rFonts w:hint="eastAsia" w:ascii="楷体_GB2312" w:hAnsi="楷体_GB2312" w:eastAsia="楷体_GB2312"/>
          <w:kern w:val="2"/>
          <w:sz w:val="30"/>
          <w:szCs w:val="24"/>
          <w:lang w:val="zh-CN"/>
        </w:rPr>
        <w:t>。</w:t>
      </w:r>
      <w:r>
        <w:rPr>
          <w:rFonts w:hint="eastAsia" w:ascii="仿宋_GB2312" w:hAnsi="仿宋_GB2312" w:eastAsia="仿宋_GB2312"/>
          <w:kern w:val="2"/>
          <w:sz w:val="30"/>
          <w:szCs w:val="24"/>
          <w:lang w:val="en-US"/>
        </w:rPr>
        <w:t>其中：</w:t>
      </w:r>
      <w:r>
        <w:rPr>
          <w:rFonts w:hint="eastAsia" w:ascii="仿宋_GB2312" w:hAnsi="仿宋_GB2312" w:eastAsia="仿宋_GB2312"/>
          <w:kern w:val="2"/>
          <w:sz w:val="30"/>
          <w:szCs w:val="24"/>
          <w:lang w:val="zh-CN"/>
        </w:rPr>
        <w:t>基本支出42,665,705.98元，占78.35%；项目支出11,787,490.82元，占21.65%；</w:t>
      </w:r>
    </w:p>
    <w:p>
      <w:pPr>
        <w:pStyle w:val="3"/>
        <w:keepNext/>
        <w:keepLines/>
        <w:spacing w:line="600" w:lineRule="exact"/>
        <w:ind w:firstLine="602"/>
        <w:rPr>
          <w:rFonts w:hint="eastAsia" w:ascii="黑体" w:hAnsi="黑体" w:eastAsia="黑体"/>
          <w:b/>
          <w:sz w:val="30"/>
          <w:szCs w:val="24"/>
          <w:lang w:val="zh-CN"/>
        </w:rPr>
      </w:pPr>
      <w:r>
        <w:rPr>
          <w:rFonts w:hint="eastAsia" w:ascii="黑体" w:hAnsi="黑体" w:eastAsia="黑体"/>
          <w:b/>
          <w:sz w:val="30"/>
          <w:szCs w:val="24"/>
          <w:lang w:val="zh-CN"/>
        </w:rPr>
        <w:t>四、财政拨款收支决算总体情况说明</w:t>
      </w:r>
    </w:p>
    <w:p>
      <w:pPr>
        <w:spacing w:line="580" w:lineRule="exact"/>
        <w:ind w:firstLine="600"/>
        <w:rPr>
          <w:rFonts w:hint="eastAsia" w:ascii="仿宋_GB2312" w:hAnsi="仿宋_GB2312" w:eastAsia="仿宋_GB2312"/>
          <w:kern w:val="2"/>
          <w:sz w:val="30"/>
          <w:szCs w:val="24"/>
          <w:lang w:val="en-US"/>
        </w:rPr>
      </w:pPr>
      <w:r>
        <w:rPr>
          <w:rFonts w:hint="eastAsia" w:ascii="仿宋_GB2312" w:hAnsi="仿宋_GB2312" w:eastAsia="仿宋_GB2312"/>
          <w:kern w:val="2"/>
          <w:sz w:val="30"/>
          <w:szCs w:val="24"/>
          <w:lang w:val="en-US"/>
        </w:rPr>
        <w:t>天津市西青区大寺镇社区卫生服务中心</w:t>
      </w:r>
      <w:r>
        <w:rPr>
          <w:rFonts w:hint="default" w:ascii="Times New Roman" w:hAnsi="Times New Roman" w:eastAsia="Times New Roman"/>
          <w:kern w:val="2"/>
          <w:sz w:val="30"/>
          <w:szCs w:val="24"/>
          <w:lang w:val="en-US"/>
        </w:rPr>
        <w:t>2021</w:t>
      </w:r>
      <w:r>
        <w:rPr>
          <w:rFonts w:hint="eastAsia" w:ascii="仿宋_GB2312" w:hAnsi="仿宋_GB2312" w:eastAsia="仿宋_GB2312"/>
          <w:kern w:val="2"/>
          <w:sz w:val="30"/>
          <w:szCs w:val="24"/>
          <w:lang w:val="en-US"/>
        </w:rPr>
        <w:t>年度财政拨款收入、支出决算总计</w:t>
      </w:r>
      <w:r>
        <w:rPr>
          <w:rFonts w:hint="default" w:ascii="Times New Roman" w:hAnsi="Times New Roman" w:eastAsia="Times New Roman"/>
          <w:kern w:val="2"/>
          <w:sz w:val="30"/>
          <w:szCs w:val="24"/>
          <w:lang w:val="zh-CN"/>
        </w:rPr>
        <w:t>25,652,430.75</w:t>
      </w:r>
      <w:r>
        <w:rPr>
          <w:rFonts w:hint="eastAsia" w:ascii="仿宋_GB2312" w:hAnsi="仿宋_GB2312" w:eastAsia="仿宋_GB2312"/>
          <w:kern w:val="2"/>
          <w:sz w:val="30"/>
          <w:szCs w:val="24"/>
          <w:lang w:val="en-US"/>
        </w:rPr>
        <w:t>元，与</w:t>
      </w:r>
      <w:r>
        <w:rPr>
          <w:rFonts w:hint="default" w:ascii="Times New Roman" w:hAnsi="Times New Roman" w:eastAsia="Times New Roman"/>
          <w:kern w:val="2"/>
          <w:sz w:val="30"/>
          <w:szCs w:val="24"/>
          <w:lang w:val="en-US"/>
        </w:rPr>
        <w:t>2020</w:t>
      </w:r>
      <w:r>
        <w:rPr>
          <w:rFonts w:hint="eastAsia" w:ascii="仿宋_GB2312" w:hAnsi="仿宋_GB2312" w:eastAsia="仿宋_GB2312"/>
          <w:kern w:val="2"/>
          <w:sz w:val="30"/>
          <w:szCs w:val="24"/>
          <w:lang w:val="en-US"/>
        </w:rPr>
        <w:t>年度相比，财政拨款收、支总计各减少</w:t>
      </w:r>
      <w:r>
        <w:rPr>
          <w:rFonts w:hint="default" w:ascii="Times New Roman" w:hAnsi="Times New Roman" w:eastAsia="Times New Roman"/>
          <w:kern w:val="2"/>
          <w:sz w:val="30"/>
          <w:szCs w:val="24"/>
          <w:lang w:val="en-US"/>
        </w:rPr>
        <w:t>4,667,533.96</w:t>
      </w:r>
      <w:r>
        <w:rPr>
          <w:rFonts w:hint="eastAsia" w:ascii="仿宋_GB2312" w:hAnsi="仿宋_GB2312" w:eastAsia="仿宋_GB2312"/>
          <w:kern w:val="2"/>
          <w:sz w:val="30"/>
          <w:szCs w:val="24"/>
          <w:lang w:val="en-US"/>
        </w:rPr>
        <w:t>元，下降</w:t>
      </w:r>
      <w:r>
        <w:rPr>
          <w:rFonts w:hint="default" w:ascii="Times New Roman" w:hAnsi="Times New Roman" w:eastAsia="Times New Roman"/>
          <w:kern w:val="2"/>
          <w:sz w:val="30"/>
          <w:szCs w:val="24"/>
          <w:lang w:val="en-US"/>
        </w:rPr>
        <w:t>15.39%</w:t>
      </w:r>
      <w:r>
        <w:rPr>
          <w:rFonts w:hint="eastAsia" w:ascii="仿宋_GB2312" w:hAnsi="仿宋_GB2312" w:eastAsia="仿宋_GB2312"/>
          <w:kern w:val="2"/>
          <w:sz w:val="30"/>
          <w:szCs w:val="24"/>
          <w:lang w:val="en-US"/>
        </w:rPr>
        <w:t>，</w:t>
      </w:r>
      <w:r>
        <w:rPr>
          <w:rFonts w:hint="eastAsia" w:ascii="仿宋_GB2312" w:hAnsi="仿宋_GB2312" w:eastAsia="仿宋_GB2312"/>
          <w:kern w:val="2"/>
          <w:sz w:val="30"/>
          <w:szCs w:val="24"/>
          <w:lang w:val="zh-CN"/>
        </w:rPr>
        <w:t>主要原因是：</w:t>
      </w:r>
      <w:r>
        <w:rPr>
          <w:rFonts w:hint="eastAsia" w:ascii="仿宋_GB2312" w:hAnsi="仿宋_GB2312" w:eastAsia="仿宋_GB2312"/>
          <w:kern w:val="2"/>
          <w:sz w:val="30"/>
          <w:szCs w:val="24"/>
          <w:lang w:val="en-US" w:eastAsia="zh-CN"/>
        </w:rPr>
        <w:t>2020年末有财政拨款结转结余款项，结转结余款项也计入到了2020年度财政拨款收入、支出决算总计中</w:t>
      </w:r>
      <w:r>
        <w:rPr>
          <w:rFonts w:hint="eastAsia" w:ascii="仿宋_GB2312" w:hAnsi="仿宋_GB2312" w:eastAsia="仿宋_GB2312"/>
          <w:kern w:val="2"/>
          <w:sz w:val="30"/>
          <w:szCs w:val="24"/>
          <w:lang w:val="zh-CN"/>
        </w:rPr>
        <w:t>。</w:t>
      </w:r>
    </w:p>
    <w:p>
      <w:pPr>
        <w:pStyle w:val="3"/>
        <w:keepNext/>
        <w:keepLines/>
        <w:spacing w:line="600" w:lineRule="exact"/>
        <w:ind w:firstLine="602"/>
        <w:rPr>
          <w:rFonts w:hint="eastAsia" w:ascii="黑体" w:hAnsi="黑体" w:eastAsia="黑体"/>
          <w:b/>
          <w:sz w:val="30"/>
          <w:szCs w:val="24"/>
          <w:lang w:val="en-US"/>
        </w:rPr>
      </w:pPr>
      <w:r>
        <w:rPr>
          <w:rFonts w:hint="eastAsia" w:ascii="黑体" w:hAnsi="黑体" w:eastAsia="黑体"/>
          <w:b/>
          <w:sz w:val="30"/>
          <w:szCs w:val="24"/>
          <w:lang w:val="en-US"/>
        </w:rPr>
        <w:t>五、一般公共预算财政拨款支出决算情况说明</w:t>
      </w:r>
    </w:p>
    <w:p>
      <w:pPr>
        <w:spacing w:line="600" w:lineRule="exact"/>
        <w:ind w:left="480"/>
        <w:rPr>
          <w:rFonts w:hint="eastAsia" w:ascii="楷体" w:hAnsi="楷体" w:eastAsia="楷体"/>
          <w:b/>
          <w:sz w:val="30"/>
          <w:szCs w:val="24"/>
          <w:lang w:val="en-US"/>
        </w:rPr>
      </w:pPr>
      <w:r>
        <w:rPr>
          <w:rFonts w:hint="eastAsia" w:ascii="楷体" w:hAnsi="楷体" w:eastAsia="楷体"/>
          <w:b/>
          <w:sz w:val="30"/>
          <w:szCs w:val="24"/>
          <w:lang w:val="en-US"/>
        </w:rPr>
        <w:t>（一）总体情况</w:t>
      </w:r>
    </w:p>
    <w:p>
      <w:pPr>
        <w:spacing w:line="580" w:lineRule="exact"/>
        <w:ind w:firstLine="600"/>
        <w:rPr>
          <w:rFonts w:hint="eastAsia" w:ascii="仿宋_GB2312" w:hAnsi="仿宋_GB2312" w:eastAsia="仿宋_GB2312"/>
          <w:sz w:val="30"/>
          <w:szCs w:val="24"/>
          <w:lang w:val="en-US"/>
        </w:rPr>
      </w:pPr>
      <w:r>
        <w:rPr>
          <w:rFonts w:hint="eastAsia" w:ascii="仿宋_GB2312" w:hAnsi="仿宋_GB2312" w:eastAsia="仿宋_GB2312"/>
          <w:kern w:val="2"/>
          <w:sz w:val="30"/>
          <w:szCs w:val="24"/>
          <w:lang w:val="en-US"/>
        </w:rPr>
        <w:t>天津市西青区大寺镇社区卫生服务中心</w:t>
      </w:r>
      <w:r>
        <w:rPr>
          <w:rFonts w:hint="default" w:ascii="Times New Roman" w:hAnsi="Times New Roman" w:eastAsia="Times New Roman"/>
          <w:kern w:val="2"/>
          <w:sz w:val="30"/>
          <w:szCs w:val="24"/>
          <w:lang w:val="en-US"/>
        </w:rPr>
        <w:t>2021</w:t>
      </w:r>
      <w:r>
        <w:rPr>
          <w:rFonts w:hint="eastAsia" w:ascii="仿宋_GB2312" w:hAnsi="仿宋_GB2312" w:eastAsia="仿宋_GB2312"/>
          <w:kern w:val="2"/>
          <w:sz w:val="30"/>
          <w:szCs w:val="24"/>
          <w:lang w:val="en-US"/>
        </w:rPr>
        <w:t>年度部门决算一般公共预算财政拨款支出</w:t>
      </w:r>
      <w:r>
        <w:rPr>
          <w:rFonts w:hint="eastAsia" w:ascii="仿宋_GB2312" w:hAnsi="仿宋_GB2312" w:eastAsia="仿宋_GB2312"/>
          <w:kern w:val="2"/>
          <w:sz w:val="30"/>
          <w:szCs w:val="24"/>
          <w:lang w:val="zh-CN"/>
        </w:rPr>
        <w:t>合</w:t>
      </w:r>
      <w:r>
        <w:rPr>
          <w:rFonts w:hint="eastAsia" w:ascii="仿宋_GB2312" w:hAnsi="仿宋_GB2312" w:eastAsia="仿宋_GB2312"/>
          <w:kern w:val="2"/>
          <w:sz w:val="30"/>
          <w:szCs w:val="24"/>
          <w:lang w:val="en-US"/>
        </w:rPr>
        <w:t>计</w:t>
      </w:r>
      <w:r>
        <w:rPr>
          <w:rFonts w:hint="default" w:ascii="Times New Roman" w:hAnsi="Times New Roman" w:eastAsia="Times New Roman"/>
          <w:kern w:val="2"/>
          <w:sz w:val="30"/>
          <w:szCs w:val="24"/>
          <w:lang w:val="en-US"/>
        </w:rPr>
        <w:t>25,652,430.75</w:t>
      </w:r>
      <w:r>
        <w:rPr>
          <w:rFonts w:hint="eastAsia" w:ascii="仿宋_GB2312" w:hAnsi="仿宋_GB2312" w:eastAsia="仿宋_GB2312"/>
          <w:kern w:val="2"/>
          <w:sz w:val="30"/>
          <w:szCs w:val="24"/>
          <w:lang w:val="en-US"/>
        </w:rPr>
        <w:t>元，占本年支出合计的</w:t>
      </w:r>
      <w:r>
        <w:rPr>
          <w:rFonts w:hint="default" w:ascii="Times New Roman" w:hAnsi="Times New Roman" w:eastAsia="Times New Roman"/>
          <w:kern w:val="2"/>
          <w:sz w:val="30"/>
          <w:szCs w:val="24"/>
          <w:lang w:val="en-US"/>
        </w:rPr>
        <w:t>47.11%</w:t>
      </w:r>
      <w:r>
        <w:rPr>
          <w:rFonts w:hint="eastAsia" w:ascii="仿宋_GB2312" w:hAnsi="仿宋_GB2312" w:eastAsia="仿宋_GB2312"/>
          <w:kern w:val="2"/>
          <w:sz w:val="30"/>
          <w:szCs w:val="24"/>
          <w:lang w:val="en-US"/>
        </w:rPr>
        <w:t>，与</w:t>
      </w:r>
      <w:r>
        <w:rPr>
          <w:rFonts w:hint="default" w:ascii="Times New Roman" w:hAnsi="Times New Roman" w:eastAsia="Times New Roman"/>
          <w:kern w:val="2"/>
          <w:sz w:val="30"/>
          <w:szCs w:val="24"/>
          <w:lang w:val="en-US"/>
        </w:rPr>
        <w:t>2020</w:t>
      </w:r>
      <w:r>
        <w:rPr>
          <w:rFonts w:hint="eastAsia" w:ascii="仿宋_GB2312" w:hAnsi="仿宋_GB2312" w:eastAsia="仿宋_GB2312"/>
          <w:kern w:val="2"/>
          <w:sz w:val="30"/>
          <w:szCs w:val="24"/>
          <w:lang w:val="en-US"/>
        </w:rPr>
        <w:t>年度相比，增加</w:t>
      </w:r>
      <w:r>
        <w:rPr>
          <w:rFonts w:hint="default" w:ascii="Times New Roman" w:hAnsi="Times New Roman" w:eastAsia="Times New Roman"/>
          <w:kern w:val="2"/>
          <w:sz w:val="30"/>
          <w:szCs w:val="24"/>
          <w:lang w:val="en-US"/>
        </w:rPr>
        <w:t>828,809.67</w:t>
      </w:r>
      <w:r>
        <w:rPr>
          <w:rFonts w:hint="eastAsia" w:ascii="仿宋_GB2312" w:hAnsi="仿宋_GB2312" w:eastAsia="仿宋_GB2312"/>
          <w:kern w:val="2"/>
          <w:sz w:val="30"/>
          <w:szCs w:val="24"/>
          <w:lang w:val="en-US"/>
        </w:rPr>
        <w:t>元，增长</w:t>
      </w:r>
      <w:r>
        <w:rPr>
          <w:rFonts w:hint="default" w:ascii="Times New Roman" w:hAnsi="Times New Roman" w:eastAsia="Times New Roman"/>
          <w:kern w:val="2"/>
          <w:sz w:val="30"/>
          <w:szCs w:val="24"/>
          <w:lang w:val="en-US"/>
        </w:rPr>
        <w:t>3.34%</w:t>
      </w:r>
      <w:r>
        <w:rPr>
          <w:rFonts w:hint="eastAsia" w:ascii="仿宋_GB2312" w:hAnsi="仿宋_GB2312" w:eastAsia="仿宋_GB2312"/>
          <w:kern w:val="2"/>
          <w:sz w:val="30"/>
          <w:szCs w:val="24"/>
          <w:lang w:val="en-US"/>
        </w:rPr>
        <w:t>，</w:t>
      </w:r>
      <w:r>
        <w:rPr>
          <w:rFonts w:hint="eastAsia" w:ascii="仿宋_GB2312" w:hAnsi="仿宋_GB2312" w:eastAsia="仿宋_GB2312"/>
          <w:kern w:val="2"/>
          <w:sz w:val="30"/>
          <w:szCs w:val="24"/>
          <w:lang w:val="zh-CN"/>
        </w:rPr>
        <w:t>主要原因是：人员增加，项目支出增加</w:t>
      </w:r>
      <w:r>
        <w:rPr>
          <w:rFonts w:hint="eastAsia" w:ascii="仿宋_GB2312" w:hAnsi="仿宋_GB2312" w:eastAsia="仿宋_GB2312"/>
          <w:kern w:val="2"/>
          <w:sz w:val="30"/>
          <w:szCs w:val="24"/>
          <w:lang w:val="en-US"/>
        </w:rPr>
        <w:t>。</w:t>
      </w:r>
    </w:p>
    <w:p>
      <w:pPr>
        <w:spacing w:line="600" w:lineRule="exact"/>
        <w:ind w:left="480"/>
        <w:rPr>
          <w:rFonts w:hint="eastAsia" w:ascii="楷体" w:hAnsi="楷体" w:eastAsia="楷体"/>
          <w:b/>
          <w:sz w:val="30"/>
          <w:szCs w:val="24"/>
          <w:lang w:val="en-US"/>
        </w:rPr>
      </w:pPr>
      <w:r>
        <w:rPr>
          <w:rFonts w:hint="eastAsia" w:ascii="楷体" w:hAnsi="楷体" w:eastAsia="楷体"/>
          <w:b/>
          <w:sz w:val="30"/>
          <w:szCs w:val="24"/>
          <w:lang w:val="en-US"/>
        </w:rPr>
        <w:t>（二）</w:t>
      </w:r>
      <w:r>
        <w:rPr>
          <w:rFonts w:hint="eastAsia" w:ascii="楷体" w:hAnsi="楷体" w:eastAsia="楷体"/>
          <w:b/>
          <w:sz w:val="30"/>
          <w:szCs w:val="24"/>
          <w:lang w:val="zh-CN"/>
        </w:rPr>
        <w:t>支出结构</w:t>
      </w:r>
      <w:r>
        <w:rPr>
          <w:rFonts w:hint="eastAsia" w:ascii="楷体" w:hAnsi="楷体" w:eastAsia="楷体"/>
          <w:b/>
          <w:sz w:val="30"/>
          <w:szCs w:val="24"/>
          <w:lang w:val="en-US"/>
        </w:rPr>
        <w:t>情况</w:t>
      </w:r>
    </w:p>
    <w:p>
      <w:pPr>
        <w:spacing w:line="600" w:lineRule="exact"/>
        <w:ind w:firstLine="720"/>
        <w:rPr>
          <w:rFonts w:hint="eastAsia" w:ascii="仿宋_GB2312" w:hAnsi="仿宋_GB2312" w:eastAsia="仿宋_GB2312"/>
          <w:kern w:val="2"/>
          <w:sz w:val="30"/>
          <w:szCs w:val="24"/>
          <w:lang w:val="zh-CN"/>
        </w:rPr>
      </w:pPr>
      <w:r>
        <w:rPr>
          <w:rFonts w:hint="eastAsia" w:ascii="仿宋_GB2312" w:hAnsi="仿宋_GB2312" w:eastAsia="仿宋_GB2312"/>
          <w:kern w:val="2"/>
          <w:sz w:val="30"/>
          <w:szCs w:val="24"/>
          <w:lang w:val="en-US"/>
        </w:rPr>
        <w:t>2021年度一般公共预算财政拨款支出</w:t>
      </w:r>
      <w:r>
        <w:rPr>
          <w:rFonts w:hint="default" w:ascii="Times New Roman" w:hAnsi="Times New Roman" w:eastAsia="Times New Roman"/>
          <w:kern w:val="2"/>
          <w:sz w:val="30"/>
          <w:szCs w:val="24"/>
          <w:lang w:val="en-US"/>
        </w:rPr>
        <w:t>25,652,430.75</w:t>
      </w:r>
      <w:r>
        <w:rPr>
          <w:rFonts w:hint="eastAsia" w:ascii="仿宋_GB2312" w:hAnsi="仿宋_GB2312" w:eastAsia="仿宋_GB2312"/>
          <w:kern w:val="2"/>
          <w:sz w:val="30"/>
          <w:szCs w:val="24"/>
          <w:lang w:val="en-US"/>
        </w:rPr>
        <w:t>元，</w:t>
      </w:r>
      <w:r>
        <w:rPr>
          <w:rFonts w:hint="eastAsia" w:ascii="仿宋_GB2312" w:hAnsi="仿宋_GB2312" w:eastAsia="仿宋_GB2312"/>
          <w:sz w:val="30"/>
          <w:szCs w:val="24"/>
          <w:lang w:val="en-US"/>
        </w:rPr>
        <w:t>主要用于以下方面：</w:t>
      </w:r>
      <w:r>
        <w:rPr>
          <w:rFonts w:hint="eastAsia" w:ascii="仿宋_GB2312" w:hAnsi="仿宋_GB2312" w:eastAsia="仿宋_GB2312"/>
          <w:kern w:val="2"/>
          <w:sz w:val="30"/>
          <w:szCs w:val="24"/>
          <w:lang w:val="zh-CN"/>
        </w:rPr>
        <w:t>社会保障和就业支出1,261,172.81元，占4.92%；卫生健康支出24,391,257.94元，占95.08%；</w:t>
      </w:r>
    </w:p>
    <w:p>
      <w:pPr>
        <w:spacing w:line="600" w:lineRule="exact"/>
        <w:ind w:left="480"/>
        <w:rPr>
          <w:rFonts w:hint="eastAsia" w:ascii="楷体" w:hAnsi="楷体" w:eastAsia="楷体"/>
          <w:b/>
          <w:sz w:val="30"/>
          <w:szCs w:val="24"/>
          <w:lang w:val="en-US"/>
        </w:rPr>
      </w:pPr>
      <w:r>
        <w:rPr>
          <w:rFonts w:hint="eastAsia" w:ascii="楷体" w:hAnsi="楷体" w:eastAsia="楷体"/>
          <w:b/>
          <w:sz w:val="30"/>
          <w:szCs w:val="24"/>
          <w:lang w:val="en-US"/>
        </w:rPr>
        <w:t>（三）具体情况</w:t>
      </w:r>
    </w:p>
    <w:p>
      <w:pPr>
        <w:spacing w:line="600" w:lineRule="exact"/>
        <w:ind w:firstLine="600"/>
        <w:rPr>
          <w:rFonts w:hint="eastAsia" w:ascii="仿宋_GB2312" w:hAnsi="仿宋_GB2312" w:eastAsia="仿宋_GB2312"/>
          <w:sz w:val="30"/>
          <w:szCs w:val="24"/>
          <w:lang w:val="en-US"/>
        </w:rPr>
      </w:pPr>
      <w:r>
        <w:rPr>
          <w:rFonts w:hint="eastAsia" w:ascii="仿宋_GB2312" w:hAnsi="仿宋_GB2312" w:eastAsia="仿宋_GB2312"/>
          <w:sz w:val="30"/>
          <w:szCs w:val="24"/>
          <w:lang w:val="en-US"/>
        </w:rPr>
        <w:t>2021年度一般公共预算财政拨款支出年初预算为</w:t>
      </w:r>
      <w:r>
        <w:rPr>
          <w:rFonts w:hint="default" w:ascii="Times New Roman" w:hAnsi="Times New Roman" w:eastAsia="Times New Roman"/>
          <w:kern w:val="2"/>
          <w:sz w:val="30"/>
          <w:szCs w:val="24"/>
          <w:lang w:val="en-US"/>
        </w:rPr>
        <w:t>11,212,800.00</w:t>
      </w:r>
      <w:r>
        <w:rPr>
          <w:rFonts w:hint="eastAsia" w:ascii="仿宋_GB2312" w:hAnsi="仿宋_GB2312" w:eastAsia="仿宋_GB2312"/>
          <w:sz w:val="30"/>
          <w:szCs w:val="24"/>
          <w:lang w:val="en-US"/>
        </w:rPr>
        <w:t>元，支出决算为</w:t>
      </w:r>
      <w:r>
        <w:rPr>
          <w:rFonts w:hint="default" w:ascii="Times New Roman" w:hAnsi="Times New Roman" w:eastAsia="Times New Roman"/>
          <w:kern w:val="2"/>
          <w:sz w:val="30"/>
          <w:szCs w:val="24"/>
          <w:lang w:val="en-US"/>
        </w:rPr>
        <w:t>25,652,430.75</w:t>
      </w:r>
      <w:r>
        <w:rPr>
          <w:rFonts w:hint="eastAsia" w:ascii="仿宋_GB2312" w:hAnsi="仿宋_GB2312" w:eastAsia="仿宋_GB2312"/>
          <w:sz w:val="30"/>
          <w:szCs w:val="24"/>
          <w:lang w:val="en-US"/>
        </w:rPr>
        <w:t>元，完成年初预算的</w:t>
      </w:r>
      <w:r>
        <w:rPr>
          <w:rFonts w:hint="default" w:ascii="Times New Roman" w:hAnsi="Times New Roman" w:eastAsia="Times New Roman"/>
          <w:kern w:val="2"/>
          <w:sz w:val="30"/>
          <w:szCs w:val="24"/>
          <w:lang w:val="en-US"/>
        </w:rPr>
        <w:t>228.78</w:t>
      </w:r>
      <w:r>
        <w:rPr>
          <w:rFonts w:hint="eastAsia" w:ascii="仿宋_GB2312" w:hAnsi="仿宋_GB2312" w:eastAsia="仿宋_GB2312"/>
          <w:sz w:val="30"/>
          <w:szCs w:val="24"/>
          <w:lang w:val="en-US"/>
        </w:rPr>
        <w:t>%。其中：</w:t>
      </w:r>
    </w:p>
    <w:p>
      <w:pPr>
        <w:spacing w:line="600" w:lineRule="exact"/>
        <w:ind w:firstLine="600"/>
        <w:rPr>
          <w:rFonts w:hint="eastAsia" w:ascii="仿宋_GB2312" w:hAnsi="仿宋_GB2312" w:eastAsia="仿宋_GB2312"/>
          <w:sz w:val="30"/>
          <w:szCs w:val="24"/>
          <w:u w:val="single"/>
          <w:lang w:val="en-US"/>
        </w:rPr>
      </w:pPr>
      <w:r>
        <w:rPr>
          <w:rFonts w:hint="eastAsia" w:ascii="仿宋_GB2312" w:hAnsi="仿宋_GB2312" w:eastAsia="仿宋_GB2312"/>
          <w:sz w:val="30"/>
          <w:szCs w:val="24"/>
          <w:lang w:val="en-US"/>
        </w:rPr>
        <w:t>1.社会保障和就业支出</w:t>
      </w:r>
      <w:r>
        <w:rPr>
          <w:rFonts w:hint="eastAsia" w:ascii="仿宋_GB2312" w:hAnsi="仿宋_GB2312" w:eastAsia="仿宋_GB2312"/>
          <w:sz w:val="30"/>
          <w:szCs w:val="24"/>
          <w:lang w:val="en-US" w:eastAsia="zh-CN"/>
        </w:rPr>
        <w:t>（类）行政事业单位养老支出（款）事业单位离退休（项）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60400</w:t>
      </w:r>
      <w:r>
        <w:rPr>
          <w:rFonts w:hint="eastAsia" w:ascii="仿宋_GB2312" w:hAnsi="仿宋_GB2312" w:eastAsia="仿宋_GB2312"/>
          <w:sz w:val="30"/>
          <w:szCs w:val="24"/>
          <w:lang w:val="en-US"/>
        </w:rPr>
        <w:t>元，支出决算为</w:t>
      </w:r>
      <w:r>
        <w:rPr>
          <w:rFonts w:hint="default" w:ascii="Times New Roman" w:hAnsi="Times New Roman" w:eastAsia="仿宋" w:cs="Times New Roman"/>
          <w:sz w:val="30"/>
          <w:szCs w:val="24"/>
          <w:lang w:val="en-US" w:eastAsia="zh-CN"/>
        </w:rPr>
        <w:t>55142</w:t>
      </w:r>
      <w:r>
        <w:rPr>
          <w:rFonts w:hint="eastAsia" w:ascii="仿宋_GB2312" w:hAnsi="仿宋_GB2312" w:eastAsia="仿宋_GB2312"/>
          <w:sz w:val="30"/>
          <w:szCs w:val="24"/>
          <w:lang w:val="en-US"/>
        </w:rPr>
        <w:t>元，完成年初预算的</w:t>
      </w:r>
      <w:r>
        <w:rPr>
          <w:rFonts w:hint="eastAsia" w:ascii="仿宋_GB2312" w:hAnsi="仿宋_GB2312" w:eastAsia="仿宋_GB2312"/>
          <w:sz w:val="30"/>
          <w:szCs w:val="24"/>
          <w:lang w:val="en-US" w:eastAsia="zh-CN"/>
        </w:rPr>
        <w:t>91.29</w:t>
      </w:r>
      <w:r>
        <w:rPr>
          <w:rFonts w:hint="eastAsia" w:ascii="仿宋_GB2312" w:hAnsi="仿宋_GB2312" w:eastAsia="仿宋_GB2312"/>
          <w:sz w:val="30"/>
          <w:szCs w:val="24"/>
          <w:lang w:val="en-US"/>
        </w:rPr>
        <w:t>%，决算数小于年初预算数的主要原因是</w:t>
      </w:r>
      <w:r>
        <w:rPr>
          <w:rFonts w:hint="eastAsia" w:ascii="仿宋_GB2312" w:hAnsi="仿宋_GB2312" w:eastAsia="仿宋_GB2312"/>
          <w:sz w:val="30"/>
          <w:szCs w:val="24"/>
          <w:lang w:val="en-US" w:eastAsia="zh-CN"/>
        </w:rPr>
        <w:t>2021年底退休人员去世一人</w:t>
      </w:r>
      <w:r>
        <w:rPr>
          <w:rFonts w:hint="eastAsia" w:ascii="仿宋_GB2312" w:hAnsi="仿宋_GB2312" w:eastAsia="仿宋_GB2312"/>
          <w:sz w:val="30"/>
          <w:szCs w:val="24"/>
          <w:lang w:val="en-US"/>
        </w:rPr>
        <w:t>。</w:t>
      </w:r>
    </w:p>
    <w:p>
      <w:pPr>
        <w:spacing w:line="600" w:lineRule="exact"/>
        <w:ind w:firstLine="600"/>
        <w:rPr>
          <w:rFonts w:hint="eastAsia" w:ascii="仿宋_GB2312" w:hAnsi="仿宋_GB2312" w:eastAsia="仿宋_GB2312"/>
          <w:sz w:val="30"/>
          <w:szCs w:val="24"/>
          <w:lang w:val="en-US"/>
        </w:rPr>
      </w:pPr>
      <w:r>
        <w:rPr>
          <w:rFonts w:hint="eastAsia" w:ascii="仿宋_GB2312" w:hAnsi="仿宋_GB2312" w:eastAsia="仿宋_GB2312"/>
          <w:sz w:val="30"/>
          <w:szCs w:val="24"/>
          <w:lang w:val="en-US"/>
        </w:rPr>
        <w:t>2.</w:t>
      </w:r>
      <w:r>
        <w:rPr>
          <w:rFonts w:hint="default" w:ascii="Times New Roman" w:hAnsi="Times New Roman" w:eastAsia="Times New Roman"/>
          <w:sz w:val="30"/>
          <w:szCs w:val="24"/>
          <w:lang w:val="en-US"/>
        </w:rPr>
        <w:t xml:space="preserve"> </w:t>
      </w:r>
      <w:r>
        <w:rPr>
          <w:rFonts w:hint="eastAsia" w:ascii="仿宋_GB2312" w:hAnsi="仿宋_GB2312" w:eastAsia="仿宋_GB2312"/>
          <w:sz w:val="30"/>
          <w:szCs w:val="24"/>
          <w:lang w:val="en-US"/>
        </w:rPr>
        <w:t>社会保障和就业支出</w:t>
      </w:r>
      <w:r>
        <w:rPr>
          <w:rFonts w:hint="eastAsia" w:ascii="仿宋_GB2312" w:hAnsi="仿宋_GB2312" w:eastAsia="仿宋_GB2312"/>
          <w:sz w:val="30"/>
          <w:szCs w:val="24"/>
          <w:lang w:val="en-US" w:eastAsia="zh-CN"/>
        </w:rPr>
        <w:t>（类）行政事业单位养老支出（款）机关事业单位基本养老保险缴费支出（项）</w:t>
      </w:r>
      <w:r>
        <w:rPr>
          <w:rFonts w:hint="eastAsia" w:ascii="仿宋_GB2312" w:hAnsi="仿宋_GB2312" w:eastAsia="仿宋_GB2312"/>
          <w:sz w:val="30"/>
          <w:szCs w:val="24"/>
          <w:lang w:val="en-US"/>
        </w:rPr>
        <w:t>年初预算为</w:t>
      </w:r>
      <w:r>
        <w:rPr>
          <w:rFonts w:hint="eastAsia" w:ascii="仿宋" w:hAnsi="仿宋" w:eastAsia="仿宋" w:cs="仿宋"/>
          <w:sz w:val="30"/>
          <w:szCs w:val="24"/>
          <w:lang w:val="en-US" w:eastAsia="zh-CN"/>
        </w:rPr>
        <w:t>496600</w:t>
      </w:r>
      <w:r>
        <w:rPr>
          <w:rFonts w:hint="eastAsia" w:ascii="仿宋_GB2312" w:hAnsi="仿宋_GB2312" w:eastAsia="仿宋_GB2312"/>
          <w:sz w:val="30"/>
          <w:szCs w:val="24"/>
          <w:lang w:val="en-US"/>
        </w:rPr>
        <w:t>元，支出决算为</w:t>
      </w:r>
      <w:r>
        <w:rPr>
          <w:rFonts w:hint="eastAsia" w:ascii="Times New Roman" w:hAnsi="Times New Roman" w:eastAsia="宋体"/>
          <w:sz w:val="30"/>
          <w:szCs w:val="24"/>
          <w:lang w:val="en-US" w:eastAsia="zh-CN"/>
        </w:rPr>
        <w:t>804036.8</w:t>
      </w:r>
      <w:r>
        <w:rPr>
          <w:rFonts w:hint="eastAsia" w:ascii="仿宋_GB2312" w:hAnsi="仿宋_GB2312" w:eastAsia="仿宋_GB2312"/>
          <w:sz w:val="30"/>
          <w:szCs w:val="24"/>
          <w:lang w:val="en-US"/>
        </w:rPr>
        <w:t>元，完成年初预算的</w:t>
      </w:r>
      <w:r>
        <w:rPr>
          <w:rFonts w:hint="eastAsia" w:ascii="Times New Roman" w:hAnsi="Times New Roman" w:eastAsia="宋体"/>
          <w:sz w:val="30"/>
          <w:szCs w:val="24"/>
          <w:lang w:val="en-US" w:eastAsia="zh-CN"/>
        </w:rPr>
        <w:t>161.91</w:t>
      </w:r>
      <w:r>
        <w:rPr>
          <w:rFonts w:hint="eastAsia" w:ascii="仿宋_GB2312" w:hAnsi="仿宋_GB2312" w:eastAsia="仿宋_GB2312"/>
          <w:sz w:val="30"/>
          <w:szCs w:val="24"/>
          <w:lang w:val="en-US"/>
        </w:rPr>
        <w:t>%，决算数大于年初预算数的主要原因是</w:t>
      </w:r>
      <w:r>
        <w:rPr>
          <w:rFonts w:hint="eastAsia" w:ascii="仿宋_GB2312" w:hAnsi="仿宋_GB2312" w:eastAsia="仿宋_GB2312"/>
          <w:sz w:val="30"/>
          <w:szCs w:val="24"/>
          <w:lang w:val="en-US" w:eastAsia="zh-CN"/>
        </w:rPr>
        <w:t>预算数是由上一年基数确定，2021年当年存在新增人员、薪级晋级等情况</w:t>
      </w:r>
      <w:r>
        <w:rPr>
          <w:rFonts w:hint="eastAsia" w:ascii="仿宋_GB2312" w:hAnsi="仿宋_GB2312" w:eastAsia="仿宋_GB2312"/>
          <w:sz w:val="30"/>
          <w:szCs w:val="24"/>
          <w:lang w:val="en-US"/>
        </w:rPr>
        <w:t>。</w:t>
      </w:r>
    </w:p>
    <w:p>
      <w:pPr>
        <w:spacing w:line="600" w:lineRule="exact"/>
        <w:ind w:firstLine="600"/>
        <w:rPr>
          <w:rFonts w:hint="eastAsia" w:ascii="仿宋_GB2312" w:hAnsi="仿宋_GB2312" w:eastAsia="仿宋_GB2312"/>
          <w:sz w:val="30"/>
          <w:szCs w:val="24"/>
          <w:lang w:val="en-US"/>
        </w:rPr>
      </w:pPr>
      <w:r>
        <w:rPr>
          <w:rFonts w:hint="eastAsia" w:ascii="仿宋_GB2312" w:hAnsi="仿宋_GB2312" w:eastAsia="仿宋_GB2312"/>
          <w:sz w:val="30"/>
          <w:szCs w:val="24"/>
          <w:lang w:val="en-US" w:eastAsia="zh-CN"/>
        </w:rPr>
        <w:t>3</w:t>
      </w:r>
      <w:r>
        <w:rPr>
          <w:rFonts w:hint="eastAsia" w:ascii="仿宋_GB2312" w:hAnsi="仿宋_GB2312" w:eastAsia="仿宋_GB2312"/>
          <w:sz w:val="30"/>
          <w:szCs w:val="24"/>
          <w:lang w:val="en-US"/>
        </w:rPr>
        <w:t>.</w:t>
      </w:r>
      <w:r>
        <w:rPr>
          <w:rFonts w:hint="default" w:ascii="Times New Roman" w:hAnsi="Times New Roman" w:eastAsia="Times New Roman"/>
          <w:sz w:val="30"/>
          <w:szCs w:val="24"/>
          <w:lang w:val="en-US"/>
        </w:rPr>
        <w:t xml:space="preserve"> </w:t>
      </w:r>
      <w:r>
        <w:rPr>
          <w:rFonts w:hint="eastAsia" w:ascii="仿宋_GB2312" w:hAnsi="仿宋_GB2312" w:eastAsia="仿宋_GB2312"/>
          <w:sz w:val="30"/>
          <w:szCs w:val="24"/>
          <w:lang w:val="en-US"/>
        </w:rPr>
        <w:t>社会保障和就业支出</w:t>
      </w:r>
      <w:r>
        <w:rPr>
          <w:rFonts w:hint="eastAsia" w:ascii="仿宋_GB2312" w:hAnsi="仿宋_GB2312" w:eastAsia="仿宋_GB2312"/>
          <w:sz w:val="30"/>
          <w:szCs w:val="24"/>
          <w:lang w:val="en-US" w:eastAsia="zh-CN"/>
        </w:rPr>
        <w:t>（类）行政事业单位养老支出（款）机关事业单位职业年金缴费支出（项）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248300</w:t>
      </w:r>
      <w:r>
        <w:rPr>
          <w:rFonts w:hint="eastAsia" w:ascii="仿宋_GB2312" w:hAnsi="仿宋_GB2312" w:eastAsia="仿宋_GB2312"/>
          <w:sz w:val="30"/>
          <w:szCs w:val="24"/>
          <w:lang w:val="en-US"/>
        </w:rPr>
        <w:t>元，支出决算为</w:t>
      </w:r>
      <w:r>
        <w:rPr>
          <w:rFonts w:hint="eastAsia" w:ascii="仿宋_GB2312" w:hAnsi="仿宋_GB2312" w:eastAsia="仿宋_GB2312"/>
          <w:sz w:val="30"/>
          <w:szCs w:val="24"/>
          <w:lang w:val="en-US" w:eastAsia="zh-CN"/>
        </w:rPr>
        <w:t>401993.92</w:t>
      </w:r>
      <w:r>
        <w:rPr>
          <w:rFonts w:hint="eastAsia" w:ascii="仿宋_GB2312" w:hAnsi="仿宋_GB2312" w:eastAsia="仿宋_GB2312"/>
          <w:sz w:val="30"/>
          <w:szCs w:val="24"/>
          <w:lang w:val="en-US"/>
        </w:rPr>
        <w:t>元，完成年初预算的</w:t>
      </w:r>
      <w:r>
        <w:rPr>
          <w:rFonts w:hint="eastAsia" w:ascii="Times New Roman" w:hAnsi="Times New Roman" w:eastAsia="宋体"/>
          <w:sz w:val="30"/>
          <w:szCs w:val="24"/>
          <w:lang w:val="en-US" w:eastAsia="zh-CN"/>
        </w:rPr>
        <w:t>161.89</w:t>
      </w:r>
      <w:r>
        <w:rPr>
          <w:rFonts w:hint="eastAsia" w:ascii="仿宋_GB2312" w:hAnsi="仿宋_GB2312" w:eastAsia="仿宋_GB2312"/>
          <w:sz w:val="30"/>
          <w:szCs w:val="24"/>
          <w:lang w:val="en-US"/>
        </w:rPr>
        <w:t>%，决算数大于年初预算数的主要原因是</w:t>
      </w:r>
      <w:r>
        <w:rPr>
          <w:rFonts w:hint="eastAsia" w:ascii="仿宋_GB2312" w:hAnsi="仿宋_GB2312" w:eastAsia="仿宋_GB2312"/>
          <w:sz w:val="30"/>
          <w:szCs w:val="24"/>
          <w:lang w:val="en-US" w:eastAsia="zh-CN"/>
        </w:rPr>
        <w:t>预算数是由上一年基数确定，2021年当年存在新增人员、薪级晋级等情况</w:t>
      </w:r>
      <w:r>
        <w:rPr>
          <w:rFonts w:hint="eastAsia" w:ascii="仿宋_GB2312" w:hAnsi="仿宋_GB2312" w:eastAsia="仿宋_GB2312"/>
          <w:sz w:val="30"/>
          <w:szCs w:val="24"/>
          <w:lang w:val="en-US"/>
        </w:rPr>
        <w:t>。</w:t>
      </w:r>
    </w:p>
    <w:p>
      <w:pPr>
        <w:numPr>
          <w:ilvl w:val="0"/>
          <w:numId w:val="0"/>
        </w:numPr>
        <w:spacing w:line="600" w:lineRule="exact"/>
        <w:ind w:firstLine="600" w:firstLineChars="200"/>
        <w:rPr>
          <w:rFonts w:hint="eastAsia" w:ascii="仿宋_GB2312" w:hAnsi="仿宋_GB2312" w:eastAsia="仿宋_GB2312"/>
          <w:sz w:val="30"/>
          <w:szCs w:val="24"/>
          <w:lang w:val="en-US"/>
        </w:rPr>
      </w:pPr>
      <w:r>
        <w:rPr>
          <w:rFonts w:hint="eastAsia" w:ascii="仿宋_GB2312" w:hAnsi="仿宋_GB2312" w:eastAsia="仿宋_GB2312"/>
          <w:sz w:val="30"/>
          <w:szCs w:val="24"/>
          <w:lang w:val="en-US" w:eastAsia="zh-CN"/>
        </w:rPr>
        <w:t xml:space="preserve">4.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（类）基层医疗卫生机构 （款）城市社区卫生机构（项）</w:t>
      </w:r>
      <w:r>
        <w:rPr>
          <w:rFonts w:hint="eastAsia" w:ascii="仿宋_GB2312" w:hAnsi="仿宋_GB2312" w:eastAsia="仿宋_GB2312"/>
          <w:sz w:val="30"/>
          <w:szCs w:val="24"/>
          <w:lang w:val="en-US"/>
        </w:rPr>
        <w:t>年初预算为</w:t>
      </w:r>
      <w:r>
        <w:rPr>
          <w:rFonts w:hint="eastAsia" w:ascii="Times New Roman" w:hAnsi="Times New Roman" w:eastAsia="宋体"/>
          <w:sz w:val="30"/>
          <w:szCs w:val="24"/>
          <w:lang w:val="en-US" w:eastAsia="zh-CN"/>
        </w:rPr>
        <w:t>10034700</w:t>
      </w:r>
      <w:r>
        <w:rPr>
          <w:rFonts w:hint="eastAsia" w:ascii="仿宋_GB2312" w:hAnsi="仿宋_GB2312" w:eastAsia="仿宋_GB2312"/>
          <w:sz w:val="30"/>
          <w:szCs w:val="24"/>
          <w:lang w:val="en-US"/>
        </w:rPr>
        <w:t>元，支出决算为</w:t>
      </w:r>
      <w:r>
        <w:rPr>
          <w:rFonts w:hint="eastAsia" w:ascii="Times New Roman" w:hAnsi="Times New Roman" w:eastAsia="宋体"/>
          <w:sz w:val="30"/>
          <w:szCs w:val="24"/>
          <w:lang w:val="en-US" w:eastAsia="zh-CN"/>
        </w:rPr>
        <w:t>12149840.18</w:t>
      </w:r>
      <w:r>
        <w:rPr>
          <w:rFonts w:hint="eastAsia" w:ascii="仿宋_GB2312" w:hAnsi="仿宋_GB2312" w:eastAsia="仿宋_GB2312"/>
          <w:sz w:val="30"/>
          <w:szCs w:val="24"/>
          <w:lang w:val="en-US"/>
        </w:rPr>
        <w:t>元，完成年初预算的</w:t>
      </w:r>
      <w:r>
        <w:rPr>
          <w:rFonts w:hint="eastAsia" w:ascii="仿宋_GB2312" w:hAnsi="仿宋_GB2312" w:eastAsia="仿宋_GB2312"/>
          <w:sz w:val="30"/>
          <w:szCs w:val="24"/>
          <w:lang w:val="en-US" w:eastAsia="zh-CN"/>
        </w:rPr>
        <w:t>121.08</w:t>
      </w:r>
      <w:r>
        <w:rPr>
          <w:rFonts w:hint="eastAsia" w:ascii="仿宋_GB2312" w:hAnsi="仿宋_GB2312" w:eastAsia="仿宋_GB2312"/>
          <w:sz w:val="30"/>
          <w:szCs w:val="24"/>
          <w:lang w:val="en-US"/>
        </w:rPr>
        <w:t>%，决算数大于年初预算数的主要原因是</w:t>
      </w:r>
      <w:r>
        <w:rPr>
          <w:rFonts w:hint="eastAsia" w:ascii="仿宋_GB2312" w:hAnsi="仿宋_GB2312" w:eastAsia="仿宋_GB2312"/>
          <w:sz w:val="30"/>
          <w:szCs w:val="24"/>
          <w:lang w:val="en-US" w:eastAsia="zh-CN"/>
        </w:rPr>
        <w:t>预算数是由上一年基数确定，2021年当年存在新增人员、薪级晋级等情况以及年中收到新增村卫生室安装监控费用拨款</w:t>
      </w:r>
      <w:r>
        <w:rPr>
          <w:rFonts w:hint="eastAsia" w:ascii="仿宋_GB2312" w:hAnsi="仿宋_GB2312" w:eastAsia="仿宋_GB2312"/>
          <w:sz w:val="30"/>
          <w:szCs w:val="24"/>
          <w:lang w:val="en-US"/>
        </w:rPr>
        <w:t>。</w:t>
      </w:r>
    </w:p>
    <w:p>
      <w:pPr>
        <w:numPr>
          <w:ilvl w:val="0"/>
          <w:numId w:val="0"/>
        </w:numPr>
        <w:spacing w:line="600" w:lineRule="exact"/>
        <w:ind w:firstLine="600" w:firstLineChars="200"/>
        <w:rPr>
          <w:rFonts w:hint="eastAsia" w:ascii="仿宋_GB2312" w:hAnsi="仿宋_GB2312" w:eastAsia="仿宋_GB2312"/>
          <w:sz w:val="30"/>
          <w:szCs w:val="24"/>
          <w:lang w:val="en-US" w:eastAsia="zh-CN"/>
        </w:rPr>
      </w:pPr>
      <w:r>
        <w:rPr>
          <w:rFonts w:hint="eastAsia" w:ascii="仿宋_GB2312" w:hAnsi="仿宋_GB2312" w:eastAsia="仿宋_GB2312"/>
          <w:sz w:val="30"/>
          <w:szCs w:val="24"/>
          <w:lang w:val="en-US" w:eastAsia="zh-CN"/>
        </w:rPr>
        <w:t xml:space="preserve">5.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（类）公共卫生（款）基本公共卫生服务（项）</w:t>
      </w:r>
      <w:r>
        <w:rPr>
          <w:rFonts w:hint="eastAsia" w:ascii="仿宋_GB2312" w:hAnsi="仿宋_GB2312" w:eastAsia="仿宋_GB2312"/>
          <w:sz w:val="30"/>
          <w:szCs w:val="24"/>
          <w:lang w:val="en-US"/>
        </w:rPr>
        <w:t>年初预算</w:t>
      </w:r>
      <w:r>
        <w:rPr>
          <w:rFonts w:hint="eastAsia" w:ascii="仿宋_GB2312" w:hAnsi="仿宋_GB2312" w:eastAsia="仿宋_GB2312"/>
          <w:sz w:val="30"/>
          <w:szCs w:val="24"/>
          <w:lang w:val="en-US" w:eastAsia="zh-CN"/>
        </w:rPr>
        <w:t>为0</w:t>
      </w:r>
      <w:r>
        <w:rPr>
          <w:rFonts w:hint="eastAsia" w:ascii="仿宋_GB2312" w:hAnsi="仿宋_GB2312" w:eastAsia="仿宋_GB2312"/>
          <w:sz w:val="30"/>
          <w:szCs w:val="24"/>
          <w:lang w:val="en-US"/>
        </w:rPr>
        <w:t>，支出决算为</w:t>
      </w:r>
      <w:r>
        <w:rPr>
          <w:rFonts w:hint="eastAsia" w:ascii="Times New Roman" w:hAnsi="Times New Roman" w:eastAsia="宋体"/>
          <w:sz w:val="30"/>
          <w:szCs w:val="24"/>
          <w:lang w:val="en-US" w:eastAsia="zh-CN"/>
        </w:rPr>
        <w:t>11429937.82</w:t>
      </w:r>
      <w:r>
        <w:rPr>
          <w:rFonts w:hint="eastAsia" w:ascii="仿宋_GB2312" w:hAnsi="仿宋_GB2312" w:eastAsia="仿宋_GB2312"/>
          <w:sz w:val="30"/>
          <w:szCs w:val="24"/>
          <w:lang w:val="en-US"/>
        </w:rPr>
        <w:t>元，决算数大于年初预算数的主要原因是</w:t>
      </w:r>
      <w:r>
        <w:rPr>
          <w:rFonts w:hint="eastAsia" w:ascii="仿宋_GB2312" w:hAnsi="仿宋_GB2312" w:eastAsia="仿宋_GB2312"/>
          <w:sz w:val="30"/>
          <w:szCs w:val="24"/>
          <w:lang w:val="en-US" w:eastAsia="zh-CN"/>
        </w:rPr>
        <w:t>2021年基本公共卫生服务项目为2021年线上追加，2021年初未做预算。</w:t>
      </w:r>
    </w:p>
    <w:p>
      <w:pPr>
        <w:numPr>
          <w:ilvl w:val="0"/>
          <w:numId w:val="0"/>
        </w:numPr>
        <w:spacing w:line="600" w:lineRule="exact"/>
        <w:ind w:firstLine="600" w:firstLineChars="200"/>
        <w:rPr>
          <w:rFonts w:hint="eastAsia" w:ascii="仿宋_GB2312" w:hAnsi="仿宋_GB2312" w:eastAsia="仿宋_GB2312"/>
          <w:sz w:val="30"/>
          <w:szCs w:val="24"/>
          <w:lang w:val="en-US" w:eastAsia="zh-CN"/>
        </w:rPr>
      </w:pPr>
      <w:r>
        <w:rPr>
          <w:rFonts w:hint="eastAsia" w:ascii="仿宋_GB2312" w:hAnsi="仿宋_GB2312" w:eastAsia="仿宋_GB2312"/>
          <w:sz w:val="30"/>
          <w:szCs w:val="24"/>
          <w:lang w:val="en-US" w:eastAsia="zh-CN"/>
        </w:rPr>
        <w:t xml:space="preserve">6.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（类）公共卫生（款）重大公共卫生服务（项）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0</w:t>
      </w:r>
      <w:r>
        <w:rPr>
          <w:rFonts w:hint="eastAsia" w:ascii="仿宋_GB2312" w:hAnsi="仿宋_GB2312" w:eastAsia="仿宋_GB2312"/>
          <w:sz w:val="30"/>
          <w:szCs w:val="24"/>
          <w:lang w:val="en-US"/>
        </w:rPr>
        <w:t>元，支出决算为</w:t>
      </w:r>
      <w:r>
        <w:rPr>
          <w:rFonts w:hint="eastAsia" w:ascii="仿宋_GB2312" w:hAnsi="仿宋_GB2312" w:eastAsia="仿宋_GB2312"/>
          <w:sz w:val="30"/>
          <w:szCs w:val="24"/>
          <w:lang w:val="en-US" w:eastAsia="zh-CN"/>
        </w:rPr>
        <w:t>89933</w:t>
      </w:r>
      <w:r>
        <w:rPr>
          <w:rFonts w:hint="eastAsia" w:ascii="仿宋_GB2312" w:hAnsi="仿宋_GB2312" w:eastAsia="仿宋_GB2312"/>
          <w:sz w:val="30"/>
          <w:szCs w:val="24"/>
          <w:lang w:val="en-US"/>
        </w:rPr>
        <w:t>元，决算数大于年初预算数的主要原因是</w:t>
      </w:r>
      <w:r>
        <w:rPr>
          <w:rFonts w:hint="eastAsia" w:ascii="仿宋_GB2312" w:hAnsi="仿宋_GB2312" w:eastAsia="仿宋_GB2312"/>
          <w:sz w:val="30"/>
          <w:szCs w:val="24"/>
          <w:lang w:val="en-US" w:eastAsia="zh-CN"/>
        </w:rPr>
        <w:t>此项目为2021年底新增加项目。</w:t>
      </w:r>
    </w:p>
    <w:p>
      <w:pPr>
        <w:numPr>
          <w:ilvl w:val="0"/>
          <w:numId w:val="0"/>
        </w:numPr>
        <w:spacing w:line="600" w:lineRule="exact"/>
        <w:ind w:firstLine="600" w:firstLineChars="200"/>
        <w:rPr>
          <w:rFonts w:hint="eastAsia" w:ascii="仿宋_GB2312" w:hAnsi="仿宋_GB2312" w:eastAsia="仿宋_GB2312"/>
          <w:sz w:val="30"/>
          <w:szCs w:val="24"/>
          <w:lang w:val="en-US" w:eastAsia="zh-CN"/>
        </w:rPr>
      </w:pPr>
      <w:r>
        <w:rPr>
          <w:rFonts w:hint="eastAsia" w:ascii="仿宋_GB2312" w:hAnsi="仿宋_GB2312" w:eastAsia="仿宋_GB2312"/>
          <w:sz w:val="30"/>
          <w:szCs w:val="24"/>
          <w:lang w:val="en-US" w:eastAsia="zh-CN"/>
        </w:rPr>
        <w:t xml:space="preserve">7.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（类）公共卫生（款）突发公共卫生事件应急处理（项）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0</w:t>
      </w:r>
      <w:r>
        <w:rPr>
          <w:rFonts w:hint="eastAsia" w:ascii="仿宋_GB2312" w:hAnsi="仿宋_GB2312" w:eastAsia="仿宋_GB2312"/>
          <w:sz w:val="30"/>
          <w:szCs w:val="24"/>
          <w:lang w:val="en-US"/>
        </w:rPr>
        <w:t>元，支出决算为</w:t>
      </w:r>
      <w:r>
        <w:rPr>
          <w:rFonts w:hint="eastAsia" w:ascii="仿宋_GB2312" w:hAnsi="仿宋_GB2312" w:eastAsia="仿宋_GB2312"/>
          <w:sz w:val="30"/>
          <w:szCs w:val="24"/>
          <w:lang w:val="en-US" w:eastAsia="zh-CN"/>
        </w:rPr>
        <w:t>163350</w:t>
      </w:r>
      <w:r>
        <w:rPr>
          <w:rFonts w:hint="eastAsia" w:ascii="仿宋_GB2312" w:hAnsi="仿宋_GB2312" w:eastAsia="仿宋_GB2312"/>
          <w:sz w:val="30"/>
          <w:szCs w:val="24"/>
          <w:lang w:val="en-US"/>
        </w:rPr>
        <w:t>元，决算数大于年初预算数的主要原因是</w:t>
      </w:r>
      <w:r>
        <w:rPr>
          <w:rFonts w:hint="eastAsia" w:ascii="仿宋_GB2312" w:hAnsi="仿宋_GB2312" w:eastAsia="仿宋_GB2312"/>
          <w:sz w:val="30"/>
          <w:szCs w:val="24"/>
          <w:lang w:val="en-US" w:eastAsia="zh-CN"/>
        </w:rPr>
        <w:t>此项目为2021年底新增加项目。</w:t>
      </w:r>
    </w:p>
    <w:p>
      <w:pPr>
        <w:numPr>
          <w:ilvl w:val="0"/>
          <w:numId w:val="0"/>
        </w:numPr>
        <w:spacing w:line="600" w:lineRule="exact"/>
        <w:ind w:firstLine="600" w:firstLineChars="200"/>
        <w:rPr>
          <w:rFonts w:hint="eastAsia" w:ascii="仿宋_GB2312" w:hAnsi="仿宋_GB2312" w:eastAsia="仿宋_GB2312"/>
          <w:sz w:val="30"/>
          <w:szCs w:val="24"/>
          <w:lang w:val="en-US" w:eastAsia="zh-CN"/>
        </w:rPr>
      </w:pPr>
      <w:r>
        <w:rPr>
          <w:rFonts w:hint="eastAsia" w:ascii="仿宋_GB2312" w:hAnsi="仿宋_GB2312" w:eastAsia="仿宋_GB2312"/>
          <w:sz w:val="30"/>
          <w:szCs w:val="24"/>
          <w:lang w:val="en-US" w:eastAsia="zh-CN"/>
        </w:rPr>
        <w:t xml:space="preserve">8.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（类）行政事业单位医疗（款）事业单位医疗（项）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325900</w:t>
      </w:r>
      <w:r>
        <w:rPr>
          <w:rFonts w:hint="eastAsia" w:ascii="仿宋_GB2312" w:hAnsi="仿宋_GB2312" w:eastAsia="仿宋_GB2312"/>
          <w:sz w:val="30"/>
          <w:szCs w:val="24"/>
          <w:lang w:val="en-US"/>
        </w:rPr>
        <w:t>元，支出决算为</w:t>
      </w:r>
      <w:r>
        <w:rPr>
          <w:rFonts w:hint="eastAsia" w:ascii="Times New Roman" w:hAnsi="Times New Roman" w:eastAsia="宋体"/>
          <w:sz w:val="30"/>
          <w:szCs w:val="24"/>
          <w:lang w:val="en-US" w:eastAsia="zh-CN"/>
        </w:rPr>
        <w:t>502516.94</w:t>
      </w:r>
      <w:r>
        <w:rPr>
          <w:rFonts w:hint="eastAsia" w:ascii="仿宋_GB2312" w:hAnsi="仿宋_GB2312" w:eastAsia="仿宋_GB2312"/>
          <w:sz w:val="30"/>
          <w:szCs w:val="24"/>
          <w:lang w:val="en-US"/>
        </w:rPr>
        <w:t>元，完成年初预算的</w:t>
      </w:r>
      <w:r>
        <w:rPr>
          <w:rFonts w:hint="eastAsia" w:ascii="仿宋_GB2312" w:hAnsi="仿宋_GB2312" w:eastAsia="仿宋_GB2312"/>
          <w:sz w:val="30"/>
          <w:szCs w:val="24"/>
          <w:lang w:val="en-US" w:eastAsia="zh-CN"/>
        </w:rPr>
        <w:t>154.19</w:t>
      </w:r>
      <w:r>
        <w:rPr>
          <w:rFonts w:hint="eastAsia" w:ascii="仿宋_GB2312" w:hAnsi="仿宋_GB2312" w:eastAsia="仿宋_GB2312"/>
          <w:sz w:val="30"/>
          <w:szCs w:val="24"/>
          <w:lang w:val="en-US"/>
        </w:rPr>
        <w:t>%，决算数大于年初预算数的主要原因是</w:t>
      </w:r>
      <w:r>
        <w:rPr>
          <w:rFonts w:hint="eastAsia" w:ascii="仿宋_GB2312" w:hAnsi="仿宋_GB2312" w:eastAsia="仿宋_GB2312"/>
          <w:sz w:val="30"/>
          <w:szCs w:val="24"/>
          <w:lang w:val="en-US" w:eastAsia="zh-CN"/>
        </w:rPr>
        <w:t>预算数是由上一年基数确定，当年存在新增人员、薪级晋级等情况。</w:t>
      </w:r>
    </w:p>
    <w:p>
      <w:pPr>
        <w:numPr>
          <w:ilvl w:val="0"/>
          <w:numId w:val="0"/>
        </w:numPr>
        <w:spacing w:line="600" w:lineRule="exact"/>
        <w:ind w:firstLine="600" w:firstLineChars="200"/>
        <w:rPr>
          <w:rFonts w:hint="eastAsia" w:ascii="仿宋_GB2312" w:hAnsi="仿宋_GB2312" w:eastAsia="仿宋_GB2312"/>
          <w:sz w:val="30"/>
          <w:szCs w:val="24"/>
          <w:lang w:val="en-US" w:eastAsia="zh-CN"/>
        </w:rPr>
      </w:pPr>
      <w:r>
        <w:rPr>
          <w:rFonts w:hint="eastAsia" w:ascii="仿宋_GB2312" w:hAnsi="仿宋_GB2312" w:eastAsia="仿宋_GB2312"/>
          <w:sz w:val="30"/>
          <w:szCs w:val="24"/>
          <w:lang w:val="en-US" w:eastAsia="zh-CN"/>
        </w:rPr>
        <w:t xml:space="preserve">9. </w:t>
      </w:r>
      <w:r>
        <w:rPr>
          <w:rFonts w:hint="eastAsia" w:ascii="仿宋_GB2312" w:hAnsi="仿宋_GB2312" w:eastAsia="仿宋_GB2312"/>
          <w:sz w:val="30"/>
          <w:szCs w:val="24"/>
          <w:lang w:val="en-US"/>
        </w:rPr>
        <w:t>卫生健康支出</w:t>
      </w:r>
      <w:r>
        <w:rPr>
          <w:rFonts w:hint="eastAsia" w:ascii="仿宋_GB2312" w:hAnsi="仿宋_GB2312" w:eastAsia="仿宋_GB2312"/>
          <w:sz w:val="30"/>
          <w:szCs w:val="24"/>
          <w:lang w:val="en-US" w:eastAsia="zh-CN"/>
        </w:rPr>
        <w:t>（类）行政事业单位医疗（款）其他行政事业单位医疗支出（项）</w:t>
      </w:r>
      <w:r>
        <w:rPr>
          <w:rFonts w:hint="eastAsia" w:ascii="仿宋_GB2312" w:hAnsi="仿宋_GB2312" w:eastAsia="仿宋_GB2312"/>
          <w:sz w:val="30"/>
          <w:szCs w:val="24"/>
          <w:lang w:val="en-US"/>
        </w:rPr>
        <w:t>年初预算为</w:t>
      </w:r>
      <w:r>
        <w:rPr>
          <w:rFonts w:hint="eastAsia" w:ascii="仿宋_GB2312" w:hAnsi="仿宋_GB2312" w:eastAsia="仿宋_GB2312"/>
          <w:sz w:val="30"/>
          <w:szCs w:val="24"/>
          <w:lang w:val="en-US" w:eastAsia="zh-CN"/>
        </w:rPr>
        <w:t>46900</w:t>
      </w:r>
      <w:r>
        <w:rPr>
          <w:rFonts w:hint="eastAsia" w:ascii="仿宋_GB2312" w:hAnsi="仿宋_GB2312" w:eastAsia="仿宋_GB2312"/>
          <w:sz w:val="30"/>
          <w:szCs w:val="24"/>
          <w:lang w:val="en-US"/>
        </w:rPr>
        <w:t>元，支出决算为</w:t>
      </w:r>
      <w:r>
        <w:rPr>
          <w:rFonts w:hint="eastAsia" w:ascii="Times New Roman" w:hAnsi="Times New Roman" w:eastAsia="宋体"/>
          <w:sz w:val="30"/>
          <w:szCs w:val="24"/>
          <w:lang w:val="en-US" w:eastAsia="zh-CN"/>
        </w:rPr>
        <w:t>55680</w:t>
      </w:r>
      <w:r>
        <w:rPr>
          <w:rFonts w:hint="eastAsia" w:ascii="仿宋_GB2312" w:hAnsi="仿宋_GB2312" w:eastAsia="仿宋_GB2312"/>
          <w:sz w:val="30"/>
          <w:szCs w:val="24"/>
          <w:lang w:val="en-US"/>
        </w:rPr>
        <w:t>元，完成年初预算的</w:t>
      </w:r>
      <w:r>
        <w:rPr>
          <w:rFonts w:hint="eastAsia" w:ascii="仿宋_GB2312" w:hAnsi="仿宋_GB2312" w:eastAsia="仿宋_GB2312"/>
          <w:sz w:val="30"/>
          <w:szCs w:val="24"/>
          <w:lang w:val="en-US" w:eastAsia="zh-CN"/>
        </w:rPr>
        <w:t>118.72</w:t>
      </w:r>
      <w:r>
        <w:rPr>
          <w:rFonts w:hint="eastAsia" w:ascii="仿宋_GB2312" w:hAnsi="仿宋_GB2312" w:eastAsia="仿宋_GB2312"/>
          <w:sz w:val="30"/>
          <w:szCs w:val="24"/>
          <w:lang w:val="en-US"/>
        </w:rPr>
        <w:t>%，决算数大于年初预算数的主要原因是</w:t>
      </w:r>
      <w:r>
        <w:rPr>
          <w:rFonts w:hint="eastAsia" w:ascii="仿宋_GB2312" w:hAnsi="仿宋_GB2312" w:eastAsia="仿宋_GB2312"/>
          <w:sz w:val="30"/>
          <w:szCs w:val="24"/>
          <w:lang w:val="en-US" w:eastAsia="zh-CN"/>
        </w:rPr>
        <w:t>预算数是由上一年基数确定，当年存在薪级晋级情况，计算基数增加。</w:t>
      </w:r>
    </w:p>
    <w:p>
      <w:pPr>
        <w:spacing w:line="600" w:lineRule="exact"/>
        <w:ind w:firstLine="600"/>
        <w:rPr>
          <w:rFonts w:hint="eastAsia" w:ascii="仿宋_GB2312" w:hAnsi="仿宋_GB2312" w:eastAsia="仿宋_GB2312"/>
          <w:sz w:val="30"/>
          <w:szCs w:val="24"/>
          <w:lang w:val="en-US"/>
        </w:rPr>
      </w:pPr>
    </w:p>
    <w:p>
      <w:pPr>
        <w:pStyle w:val="3"/>
        <w:keepNext/>
        <w:keepLines/>
        <w:spacing w:line="600" w:lineRule="exact"/>
        <w:ind w:firstLine="602"/>
        <w:rPr>
          <w:rFonts w:hint="eastAsia" w:ascii="黑体" w:hAnsi="黑体" w:eastAsia="黑体"/>
          <w:b/>
          <w:sz w:val="30"/>
          <w:szCs w:val="24"/>
          <w:lang w:val="en-US"/>
        </w:rPr>
      </w:pPr>
      <w:r>
        <w:rPr>
          <w:rFonts w:hint="eastAsia" w:ascii="黑体" w:hAnsi="黑体" w:eastAsia="黑体"/>
          <w:b/>
          <w:sz w:val="30"/>
          <w:szCs w:val="24"/>
          <w:lang w:val="en-US"/>
        </w:rPr>
        <w:t>六、一般公共预算财政拨款基本支出决算情况说明</w:t>
      </w:r>
    </w:p>
    <w:p>
      <w:pPr>
        <w:spacing w:line="580" w:lineRule="exact"/>
        <w:ind w:firstLine="600"/>
        <w:rPr>
          <w:rFonts w:hint="eastAsia" w:ascii="仿宋_GB2312" w:hAnsi="仿宋_GB2312" w:eastAsia="仿宋_GB2312"/>
          <w:kern w:val="2"/>
          <w:sz w:val="30"/>
          <w:szCs w:val="24"/>
          <w:lang w:val="en-US"/>
        </w:rPr>
      </w:pPr>
      <w:r>
        <w:rPr>
          <w:rFonts w:hint="eastAsia" w:ascii="仿宋_GB2312" w:hAnsi="仿宋_GB2312" w:eastAsia="仿宋_GB2312"/>
          <w:kern w:val="2"/>
          <w:sz w:val="30"/>
          <w:szCs w:val="24"/>
          <w:lang w:val="en-US"/>
        </w:rPr>
        <w:t>天津市西青区大寺镇社区卫生服务中心</w:t>
      </w:r>
      <w:r>
        <w:rPr>
          <w:rFonts w:hint="default" w:ascii="Times New Roman" w:hAnsi="Times New Roman" w:eastAsia="Times New Roman"/>
          <w:kern w:val="2"/>
          <w:sz w:val="30"/>
          <w:szCs w:val="24"/>
          <w:lang w:val="en-US"/>
        </w:rPr>
        <w:t>2021</w:t>
      </w:r>
      <w:r>
        <w:rPr>
          <w:rFonts w:hint="eastAsia" w:ascii="仿宋_GB2312" w:hAnsi="仿宋_GB2312" w:eastAsia="仿宋_GB2312"/>
          <w:kern w:val="2"/>
          <w:sz w:val="30"/>
          <w:szCs w:val="24"/>
          <w:lang w:val="en-US"/>
        </w:rPr>
        <w:t>年度部门决算一般公共预算财政拨款基本支出合计</w:t>
      </w:r>
      <w:r>
        <w:rPr>
          <w:rFonts w:hint="default" w:ascii="Times New Roman" w:hAnsi="Times New Roman" w:eastAsia="Times New Roman"/>
          <w:kern w:val="2"/>
          <w:sz w:val="30"/>
          <w:szCs w:val="24"/>
          <w:lang w:val="en-US"/>
        </w:rPr>
        <w:t>13,864,939.93</w:t>
      </w:r>
      <w:r>
        <w:rPr>
          <w:rFonts w:hint="eastAsia" w:ascii="仿宋_GB2312" w:hAnsi="仿宋_GB2312" w:eastAsia="仿宋_GB2312"/>
          <w:kern w:val="2"/>
          <w:sz w:val="30"/>
          <w:szCs w:val="24"/>
          <w:lang w:val="en-US"/>
        </w:rPr>
        <w:t>元，与</w:t>
      </w:r>
      <w:r>
        <w:rPr>
          <w:rFonts w:hint="default" w:ascii="Times New Roman" w:hAnsi="Times New Roman" w:eastAsia="Times New Roman"/>
          <w:kern w:val="2"/>
          <w:sz w:val="30"/>
          <w:szCs w:val="24"/>
          <w:lang w:val="en-US"/>
        </w:rPr>
        <w:t>2020</w:t>
      </w:r>
      <w:r>
        <w:rPr>
          <w:rFonts w:hint="eastAsia" w:ascii="仿宋_GB2312" w:hAnsi="仿宋_GB2312" w:eastAsia="仿宋_GB2312"/>
          <w:kern w:val="2"/>
          <w:sz w:val="30"/>
          <w:szCs w:val="24"/>
          <w:lang w:val="en-US"/>
        </w:rPr>
        <w:t>年度相比增加</w:t>
      </w:r>
      <w:r>
        <w:rPr>
          <w:rFonts w:hint="default" w:ascii="Times New Roman" w:hAnsi="Times New Roman" w:eastAsia="Times New Roman"/>
          <w:kern w:val="2"/>
          <w:sz w:val="30"/>
          <w:szCs w:val="24"/>
          <w:lang w:val="en-US"/>
        </w:rPr>
        <w:t>276,484.86</w:t>
      </w:r>
      <w:r>
        <w:rPr>
          <w:rFonts w:hint="eastAsia" w:ascii="仿宋_GB2312" w:hAnsi="仿宋_GB2312" w:eastAsia="仿宋_GB2312"/>
          <w:kern w:val="2"/>
          <w:sz w:val="30"/>
          <w:szCs w:val="24"/>
          <w:lang w:val="en-US"/>
        </w:rPr>
        <w:t>元，</w:t>
      </w:r>
      <w:r>
        <w:rPr>
          <w:rFonts w:hint="eastAsia" w:ascii="仿宋_GB2312" w:hAnsi="仿宋_GB2312" w:eastAsia="仿宋_GB2312"/>
          <w:sz w:val="30"/>
          <w:szCs w:val="24"/>
          <w:lang w:val="en-US"/>
        </w:rPr>
        <w:t>主要原因是</w:t>
      </w:r>
      <w:r>
        <w:rPr>
          <w:rFonts w:hint="eastAsia" w:ascii="仿宋_GB2312" w:hAnsi="仿宋_GB2312" w:eastAsia="仿宋_GB2312"/>
          <w:sz w:val="30"/>
          <w:szCs w:val="24"/>
          <w:lang w:val="en-US" w:eastAsia="zh-CN"/>
        </w:rPr>
        <w:t>：有人员增加、薪级晋级等情况</w:t>
      </w:r>
      <w:r>
        <w:rPr>
          <w:rFonts w:hint="eastAsia" w:ascii="仿宋_GB2312" w:hAnsi="仿宋_GB2312" w:eastAsia="仿宋_GB2312"/>
          <w:kern w:val="2"/>
          <w:sz w:val="30"/>
          <w:szCs w:val="24"/>
          <w:lang w:val="en-US"/>
        </w:rPr>
        <w:t>。</w:t>
      </w:r>
      <w:r>
        <w:rPr>
          <w:rFonts w:hint="eastAsia" w:ascii="仿宋_GB2312" w:hAnsi="仿宋_GB2312" w:eastAsia="仿宋_GB2312"/>
          <w:sz w:val="30"/>
          <w:szCs w:val="24"/>
          <w:lang w:val="en-US"/>
        </w:rPr>
        <w:t>其中：人员经费</w:t>
      </w:r>
      <w:r>
        <w:rPr>
          <w:rFonts w:hint="default" w:ascii="Times New Roman" w:hAnsi="Times New Roman" w:eastAsia="Times New Roman"/>
          <w:kern w:val="2"/>
          <w:sz w:val="30"/>
          <w:szCs w:val="24"/>
          <w:lang w:val="en-US"/>
        </w:rPr>
        <w:t>13,864,939.93</w:t>
      </w:r>
      <w:r>
        <w:rPr>
          <w:rFonts w:hint="eastAsia" w:ascii="仿宋_GB2312" w:hAnsi="仿宋_GB2312" w:eastAsia="仿宋_GB2312"/>
          <w:sz w:val="30"/>
          <w:szCs w:val="24"/>
          <w:lang w:val="en-US"/>
        </w:rPr>
        <w:t>元，主要包括基本工资、津贴补贴、绩效工资、机关事业单位基本养老保险缴费、职业年金缴费、职工基本医疗保险缴费、其他社会保障缴费、住房公积金、医疗费、其他工资福利支出、退休费、；公用经费</w:t>
      </w:r>
      <w:r>
        <w:rPr>
          <w:rFonts w:hint="default" w:ascii="Times New Roman" w:hAnsi="Times New Roman" w:eastAsia="Times New Roman"/>
          <w:kern w:val="2"/>
          <w:sz w:val="30"/>
          <w:szCs w:val="24"/>
          <w:lang w:val="en-US"/>
        </w:rPr>
        <w:t>0.00</w:t>
      </w:r>
      <w:r>
        <w:rPr>
          <w:rFonts w:hint="eastAsia" w:ascii="仿宋_GB2312" w:hAnsi="仿宋_GB2312" w:eastAsia="仿宋_GB2312"/>
          <w:sz w:val="30"/>
          <w:szCs w:val="24"/>
          <w:lang w:val="en-US"/>
        </w:rPr>
        <w:t>元。</w:t>
      </w:r>
    </w:p>
    <w:p>
      <w:pPr>
        <w:pStyle w:val="3"/>
        <w:keepNext/>
        <w:keepLines/>
        <w:spacing w:line="600" w:lineRule="exact"/>
        <w:ind w:firstLine="602"/>
        <w:rPr>
          <w:rFonts w:hint="eastAsia" w:ascii="黑体" w:hAnsi="黑体" w:eastAsia="黑体"/>
          <w:b/>
          <w:sz w:val="30"/>
          <w:szCs w:val="24"/>
          <w:lang w:val="en-US"/>
        </w:rPr>
      </w:pPr>
      <w:r>
        <w:rPr>
          <w:rFonts w:hint="eastAsia" w:ascii="黑体" w:hAnsi="黑体" w:eastAsia="黑体"/>
          <w:b/>
          <w:sz w:val="30"/>
          <w:szCs w:val="24"/>
          <w:lang w:val="en-US"/>
        </w:rPr>
        <w:t>七、一般公共预算财政拨款“三公”经费</w:t>
      </w:r>
      <w:r>
        <w:rPr>
          <w:rFonts w:hint="eastAsia" w:ascii="黑体" w:hAnsi="黑体" w:eastAsia="黑体"/>
          <w:b/>
          <w:sz w:val="30"/>
          <w:szCs w:val="24"/>
          <w:lang w:val="zh-CN"/>
        </w:rPr>
        <w:t>支出决算</w:t>
      </w:r>
      <w:r>
        <w:rPr>
          <w:rFonts w:hint="eastAsia" w:ascii="黑体" w:hAnsi="黑体" w:eastAsia="黑体"/>
          <w:b/>
          <w:sz w:val="30"/>
          <w:szCs w:val="24"/>
          <w:lang w:val="en-US"/>
        </w:rPr>
        <w:t>情况</w:t>
      </w:r>
    </w:p>
    <w:p>
      <w:pPr>
        <w:spacing w:line="560" w:lineRule="exact"/>
        <w:ind w:firstLine="600"/>
        <w:rPr>
          <w:rFonts w:hint="eastAsia" w:ascii="仿宋_GB2312" w:hAnsi="仿宋_GB2312" w:eastAsia="仿宋_GB2312"/>
          <w:sz w:val="30"/>
          <w:szCs w:val="24"/>
          <w:lang w:val="en-US"/>
        </w:rPr>
      </w:pP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年一般公共预算财政拨款“三公”经费决算</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元，与</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w:t>
      </w:r>
      <w:r>
        <w:rPr>
          <w:rFonts w:hint="eastAsia" w:ascii="仿宋_GB2312" w:hAnsi="仿宋_GB2312" w:eastAsia="仿宋_GB2312"/>
          <w:sz w:val="30"/>
          <w:szCs w:val="24"/>
          <w:lang w:val="zh-CN"/>
        </w:rPr>
        <w:t>预</w:t>
      </w:r>
      <w:r>
        <w:rPr>
          <w:rFonts w:hint="eastAsia" w:ascii="仿宋_GB2312" w:hAnsi="仿宋_GB2312" w:eastAsia="仿宋_GB2312"/>
          <w:sz w:val="30"/>
          <w:szCs w:val="24"/>
          <w:lang w:val="en-US"/>
        </w:rPr>
        <w:t>算相比持平，主要原因是</w:t>
      </w:r>
      <w:r>
        <w:rPr>
          <w:rFonts w:hint="eastAsia" w:ascii="仿宋_GB2312" w:hAnsi="仿宋_GB2312" w:eastAsia="仿宋_GB2312"/>
          <w:sz w:val="30"/>
          <w:szCs w:val="24"/>
          <w:lang w:val="en-US" w:eastAsia="zh-CN"/>
        </w:rPr>
        <w:t>严格按照预算执行</w:t>
      </w:r>
      <w:r>
        <w:rPr>
          <w:rFonts w:hint="eastAsia" w:ascii="仿宋_GB2312" w:hAnsi="仿宋_GB2312" w:eastAsia="仿宋_GB2312"/>
          <w:sz w:val="30"/>
          <w:szCs w:val="24"/>
          <w:lang w:val="en-US"/>
        </w:rPr>
        <w:t>。</w:t>
      </w:r>
    </w:p>
    <w:p>
      <w:pPr>
        <w:spacing w:line="560" w:lineRule="exact"/>
        <w:ind w:firstLine="600"/>
        <w:rPr>
          <w:rFonts w:hint="eastAsia" w:ascii="仿宋_GB2312" w:hAnsi="仿宋_GB2312" w:eastAsia="仿宋_GB2312"/>
          <w:sz w:val="30"/>
          <w:szCs w:val="24"/>
          <w:lang w:val="en-US"/>
        </w:rPr>
      </w:pPr>
      <w:r>
        <w:rPr>
          <w:rFonts w:hint="eastAsia" w:ascii="仿宋_GB2312" w:hAnsi="仿宋_GB2312" w:eastAsia="仿宋_GB2312"/>
          <w:sz w:val="30"/>
          <w:szCs w:val="24"/>
          <w:lang w:val="en-US"/>
        </w:rPr>
        <w:t>(一)</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年因公出国（境）费决算</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元，与预算相比持平，主要原因是</w:t>
      </w:r>
      <w:r>
        <w:rPr>
          <w:rFonts w:hint="eastAsia" w:ascii="仿宋_GB2312" w:hAnsi="仿宋_GB2312" w:eastAsia="仿宋_GB2312"/>
          <w:sz w:val="30"/>
          <w:szCs w:val="24"/>
          <w:lang w:val="en-US" w:eastAsia="zh-CN"/>
        </w:rPr>
        <w:t>严格按照预算执行</w:t>
      </w:r>
      <w:r>
        <w:rPr>
          <w:rFonts w:hint="eastAsia" w:ascii="仿宋_GB2312" w:hAnsi="仿宋_GB2312" w:eastAsia="仿宋_GB2312"/>
          <w:sz w:val="30"/>
          <w:szCs w:val="24"/>
          <w:lang w:val="en-US"/>
        </w:rPr>
        <w:t>。</w:t>
      </w:r>
    </w:p>
    <w:p>
      <w:pPr>
        <w:spacing w:line="560" w:lineRule="exact"/>
        <w:ind w:firstLine="600"/>
        <w:rPr>
          <w:rFonts w:hint="eastAsia" w:ascii="仿宋_GB2312" w:hAnsi="仿宋_GB2312" w:eastAsia="仿宋_GB2312"/>
          <w:sz w:val="30"/>
          <w:szCs w:val="24"/>
          <w:lang w:val="en-US"/>
        </w:rPr>
      </w:pP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年本单位组织的出国团组</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个，出国</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 xml:space="preserve">人次。 </w:t>
      </w:r>
    </w:p>
    <w:p>
      <w:pPr>
        <w:spacing w:line="560" w:lineRule="exact"/>
        <w:ind w:firstLine="600"/>
        <w:rPr>
          <w:rFonts w:hint="eastAsia" w:ascii="仿宋_GB2312" w:hAnsi="仿宋_GB2312" w:eastAsia="仿宋_GB2312"/>
          <w:sz w:val="30"/>
          <w:szCs w:val="24"/>
          <w:lang w:val="en-US"/>
        </w:rPr>
      </w:pPr>
      <w:r>
        <w:rPr>
          <w:rFonts w:hint="eastAsia" w:ascii="仿宋_GB2312" w:hAnsi="仿宋_GB2312" w:eastAsia="仿宋_GB2312"/>
          <w:sz w:val="30"/>
          <w:szCs w:val="24"/>
          <w:lang w:val="en-US"/>
        </w:rPr>
        <w:t>(二)</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年公务用车购置及运行维护费决算</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元，其中公务用车运行维护费</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元，与预算相比持平，主要原因是</w:t>
      </w:r>
      <w:r>
        <w:rPr>
          <w:rFonts w:hint="eastAsia" w:ascii="仿宋_GB2312" w:hAnsi="仿宋_GB2312" w:eastAsia="仿宋_GB2312"/>
          <w:sz w:val="30"/>
          <w:szCs w:val="24"/>
          <w:lang w:val="en-US" w:eastAsia="zh-CN"/>
        </w:rPr>
        <w:t>严格按照预算执行</w:t>
      </w:r>
      <w:r>
        <w:rPr>
          <w:rFonts w:hint="eastAsia" w:ascii="仿宋_GB2312" w:hAnsi="仿宋_GB2312" w:eastAsia="仿宋_GB2312"/>
          <w:sz w:val="30"/>
          <w:szCs w:val="24"/>
          <w:lang w:val="en-US"/>
        </w:rPr>
        <w:t>；公务用车购置费</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元，与预算相比持平，主要原因是</w:t>
      </w:r>
      <w:r>
        <w:rPr>
          <w:rFonts w:hint="eastAsia" w:ascii="仿宋_GB2312" w:hAnsi="仿宋_GB2312" w:eastAsia="仿宋_GB2312"/>
          <w:sz w:val="30"/>
          <w:szCs w:val="24"/>
          <w:lang w:val="en-US" w:eastAsia="zh-CN"/>
        </w:rPr>
        <w:t>严格按照预算执行</w:t>
      </w:r>
      <w:r>
        <w:rPr>
          <w:rFonts w:hint="eastAsia" w:ascii="仿宋_GB2312" w:hAnsi="仿宋_GB2312" w:eastAsia="仿宋_GB2312"/>
          <w:sz w:val="30"/>
          <w:szCs w:val="24"/>
          <w:lang w:val="en-US"/>
        </w:rPr>
        <w:t>。</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年本单位公务用车保有</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辆，购置公务用车</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辆。</w:t>
      </w:r>
    </w:p>
    <w:p>
      <w:pPr>
        <w:spacing w:line="580" w:lineRule="exact"/>
        <w:ind w:firstLine="600"/>
        <w:rPr>
          <w:rFonts w:hint="eastAsia" w:ascii="仿宋_GB2312" w:hAnsi="仿宋_GB2312" w:eastAsia="仿宋_GB2312"/>
          <w:kern w:val="2"/>
          <w:sz w:val="30"/>
          <w:szCs w:val="24"/>
          <w:lang w:val="en-US"/>
        </w:rPr>
      </w:pPr>
      <w:r>
        <w:rPr>
          <w:rFonts w:hint="eastAsia" w:ascii="仿宋_GB2312" w:hAnsi="仿宋_GB2312" w:eastAsia="仿宋_GB2312"/>
          <w:sz w:val="30"/>
          <w:szCs w:val="24"/>
          <w:lang w:val="en-US"/>
        </w:rPr>
        <w:t>(三)</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年公务接待费决算</w:t>
      </w:r>
      <w:r>
        <w:rPr>
          <w:rFonts w:hint="default" w:ascii="Times New Roman" w:hAnsi="Times New Roman" w:eastAsia="Times New Roman"/>
          <w:sz w:val="30"/>
          <w:szCs w:val="24"/>
          <w:lang w:val="en-US"/>
        </w:rPr>
        <w:t>0.00</w:t>
      </w:r>
      <w:r>
        <w:rPr>
          <w:rFonts w:hint="eastAsia" w:ascii="仿宋_GB2312" w:hAnsi="仿宋_GB2312" w:eastAsia="仿宋_GB2312"/>
          <w:sz w:val="30"/>
          <w:szCs w:val="24"/>
          <w:lang w:val="en-US"/>
        </w:rPr>
        <w:t>元，与预算相比持平，主要原因是</w:t>
      </w:r>
      <w:r>
        <w:rPr>
          <w:rFonts w:hint="eastAsia" w:ascii="仿宋_GB2312" w:hAnsi="仿宋_GB2312" w:eastAsia="仿宋_GB2312"/>
          <w:sz w:val="30"/>
          <w:szCs w:val="24"/>
          <w:lang w:val="en-US" w:eastAsia="zh-CN"/>
        </w:rPr>
        <w:t>严格按照预算执行</w:t>
      </w:r>
      <w:r>
        <w:rPr>
          <w:rFonts w:hint="eastAsia" w:ascii="仿宋_GB2312" w:hAnsi="仿宋_GB2312" w:eastAsia="仿宋_GB2312"/>
          <w:sz w:val="30"/>
          <w:szCs w:val="24"/>
          <w:lang w:val="en-US"/>
        </w:rPr>
        <w:t>。</w:t>
      </w:r>
      <w:r>
        <w:rPr>
          <w:rFonts w:hint="default" w:ascii="Times New Roman" w:hAnsi="Times New Roman" w:eastAsia="Times New Roman"/>
          <w:sz w:val="30"/>
          <w:szCs w:val="24"/>
          <w:lang w:val="en-US"/>
        </w:rPr>
        <w:t>2021</w:t>
      </w:r>
      <w:r>
        <w:rPr>
          <w:rFonts w:hint="eastAsia" w:ascii="仿宋_GB2312" w:hAnsi="仿宋_GB2312" w:eastAsia="仿宋_GB2312"/>
          <w:sz w:val="30"/>
          <w:szCs w:val="24"/>
          <w:lang w:val="en-US"/>
        </w:rPr>
        <w:t>年本单位国内公务接待</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批次，</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人次；其中，外事接待</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批次，</w:t>
      </w:r>
      <w:r>
        <w:rPr>
          <w:rFonts w:hint="default" w:ascii="Times New Roman" w:hAnsi="Times New Roman" w:eastAsia="Times New Roman"/>
          <w:sz w:val="30"/>
          <w:szCs w:val="24"/>
          <w:lang w:val="en-US"/>
        </w:rPr>
        <w:t>0</w:t>
      </w:r>
      <w:r>
        <w:rPr>
          <w:rFonts w:hint="eastAsia" w:ascii="仿宋_GB2312" w:hAnsi="仿宋_GB2312" w:eastAsia="仿宋_GB2312"/>
          <w:sz w:val="30"/>
          <w:szCs w:val="24"/>
          <w:lang w:val="en-US"/>
        </w:rPr>
        <w:t>人次。</w:t>
      </w:r>
    </w:p>
    <w:p>
      <w:pPr>
        <w:pStyle w:val="3"/>
        <w:keepNext/>
        <w:keepLines/>
        <w:spacing w:line="600" w:lineRule="exact"/>
        <w:ind w:firstLine="602"/>
        <w:rPr>
          <w:rFonts w:hint="eastAsia" w:ascii="黑体" w:hAnsi="黑体" w:eastAsia="黑体"/>
          <w:b/>
          <w:sz w:val="30"/>
          <w:szCs w:val="24"/>
          <w:lang w:val="en-US"/>
        </w:rPr>
      </w:pPr>
      <w:r>
        <w:rPr>
          <w:rFonts w:hint="eastAsia" w:ascii="黑体" w:hAnsi="黑体" w:eastAsia="黑体"/>
          <w:b/>
          <w:sz w:val="30"/>
          <w:szCs w:val="24"/>
          <w:lang w:val="en-US"/>
        </w:rPr>
        <w:t>八、政府性基金预算财政拨款收支决算情况</w:t>
      </w:r>
    </w:p>
    <w:p>
      <w:pPr>
        <w:spacing w:line="580" w:lineRule="exact"/>
        <w:ind w:firstLine="600"/>
        <w:rPr>
          <w:rFonts w:hint="eastAsia" w:ascii="仿宋_GB2312" w:hAnsi="仿宋_GB2312" w:eastAsia="仿宋_GB2312"/>
          <w:sz w:val="30"/>
          <w:szCs w:val="24"/>
          <w:lang w:val="en-US"/>
        </w:rPr>
      </w:pPr>
      <w:r>
        <w:rPr>
          <w:rFonts w:hint="eastAsia" w:ascii="仿宋_GB2312" w:hAnsi="仿宋_GB2312" w:eastAsia="仿宋_GB2312"/>
          <w:kern w:val="2"/>
          <w:sz w:val="30"/>
          <w:szCs w:val="24"/>
          <w:lang w:val="en-US"/>
        </w:rPr>
        <w:t>天津市西青区大寺镇社区卫生服务中心</w:t>
      </w:r>
      <w:r>
        <w:rPr>
          <w:rFonts w:hint="default" w:ascii="Times New Roman" w:hAnsi="Times New Roman" w:eastAsia="Times New Roman"/>
          <w:kern w:val="2"/>
          <w:sz w:val="30"/>
          <w:szCs w:val="24"/>
          <w:lang w:val="en-US"/>
        </w:rPr>
        <w:t>2021</w:t>
      </w:r>
      <w:r>
        <w:rPr>
          <w:rFonts w:hint="eastAsia" w:ascii="仿宋_GB2312" w:hAnsi="仿宋_GB2312" w:eastAsia="仿宋_GB2312"/>
          <w:kern w:val="2"/>
          <w:sz w:val="30"/>
          <w:szCs w:val="24"/>
          <w:lang w:val="en-US"/>
        </w:rPr>
        <w:t>年度</w:t>
      </w:r>
      <w:r>
        <w:rPr>
          <w:rFonts w:hint="eastAsia" w:ascii="仿宋_GB2312" w:hAnsi="仿宋_GB2312" w:eastAsia="仿宋_GB2312"/>
          <w:kern w:val="2"/>
          <w:sz w:val="30"/>
          <w:szCs w:val="24"/>
          <w:lang w:val="en-US" w:eastAsia="zh-CN"/>
        </w:rPr>
        <w:t>无</w:t>
      </w:r>
      <w:r>
        <w:rPr>
          <w:rFonts w:hint="eastAsia" w:ascii="仿宋_GB2312" w:hAnsi="仿宋_GB2312" w:eastAsia="仿宋_GB2312"/>
          <w:kern w:val="2"/>
          <w:sz w:val="30"/>
          <w:szCs w:val="24"/>
          <w:lang w:val="en-US"/>
        </w:rPr>
        <w:t>政府性基金预算财政拨款</w:t>
      </w:r>
      <w:r>
        <w:rPr>
          <w:rFonts w:hint="eastAsia" w:ascii="仿宋_GB2312" w:hAnsi="仿宋_GB2312" w:eastAsia="仿宋_GB2312"/>
          <w:sz w:val="30"/>
          <w:szCs w:val="24"/>
          <w:lang w:val="en-US"/>
        </w:rPr>
        <w:t>收入</w:t>
      </w:r>
      <w:r>
        <w:rPr>
          <w:rFonts w:hint="eastAsia" w:ascii="Times New Roman" w:hAnsi="Times New Roman" w:eastAsia="宋体"/>
          <w:kern w:val="2"/>
          <w:sz w:val="30"/>
          <w:szCs w:val="24"/>
          <w:lang w:val="en-US" w:eastAsia="zh-CN"/>
        </w:rPr>
        <w:t>、</w:t>
      </w:r>
      <w:r>
        <w:rPr>
          <w:rFonts w:hint="eastAsia" w:ascii="仿宋_GB2312" w:hAnsi="仿宋_GB2312" w:eastAsia="仿宋_GB2312"/>
          <w:kern w:val="2"/>
          <w:sz w:val="30"/>
          <w:szCs w:val="24"/>
          <w:lang w:val="en-US"/>
        </w:rPr>
        <w:t>支出</w:t>
      </w:r>
      <w:r>
        <w:rPr>
          <w:rFonts w:hint="eastAsia" w:ascii="仿宋_GB2312" w:hAnsi="仿宋_GB2312" w:eastAsia="仿宋_GB2312"/>
          <w:kern w:val="2"/>
          <w:sz w:val="30"/>
          <w:szCs w:val="24"/>
          <w:lang w:val="en-US" w:eastAsia="zh-CN"/>
        </w:rPr>
        <w:t>和</w:t>
      </w:r>
      <w:r>
        <w:rPr>
          <w:rFonts w:hint="eastAsia" w:ascii="仿宋_GB2312" w:hAnsi="仿宋_GB2312" w:eastAsia="仿宋_GB2312"/>
          <w:kern w:val="2"/>
          <w:sz w:val="30"/>
          <w:szCs w:val="24"/>
          <w:highlight w:val="white"/>
          <w:lang w:val="en-US"/>
        </w:rPr>
        <w:t>结转结余。</w:t>
      </w:r>
    </w:p>
    <w:p>
      <w:pPr>
        <w:spacing w:line="600" w:lineRule="exact"/>
        <w:ind w:firstLine="600"/>
        <w:rPr>
          <w:rFonts w:hint="eastAsia" w:ascii="黑体" w:hAnsi="黑体" w:eastAsia="黑体"/>
          <w:b/>
          <w:sz w:val="30"/>
          <w:szCs w:val="24"/>
          <w:lang w:val="en-US"/>
        </w:rPr>
      </w:pPr>
      <w:r>
        <w:rPr>
          <w:rFonts w:hint="eastAsia" w:ascii="黑体" w:hAnsi="黑体" w:eastAsia="黑体"/>
          <w:b/>
          <w:sz w:val="30"/>
          <w:szCs w:val="24"/>
          <w:lang w:val="en-US"/>
        </w:rPr>
        <w:t>九、国有资本经营预算财政拨款收支决算情况说明</w:t>
      </w:r>
    </w:p>
    <w:p>
      <w:pPr>
        <w:spacing w:line="600" w:lineRule="exact"/>
        <w:ind w:firstLine="600"/>
        <w:rPr>
          <w:rFonts w:hint="default" w:ascii="Times New Roman" w:hAnsi="Times New Roman" w:eastAsia="Times New Roman"/>
          <w:color w:val="auto"/>
          <w:sz w:val="30"/>
          <w:szCs w:val="24"/>
          <w:lang w:val="en-US"/>
        </w:rPr>
      </w:pPr>
      <w:r>
        <w:rPr>
          <w:rFonts w:hint="eastAsia" w:ascii="仿宋_GB2312" w:hAnsi="仿宋_GB2312" w:eastAsia="仿宋_GB2312"/>
          <w:color w:val="000000"/>
          <w:sz w:val="30"/>
          <w:szCs w:val="24"/>
          <w:lang w:val="en-US"/>
        </w:rPr>
        <w:t>天津市西青区大寺镇社区卫生服务中心</w:t>
      </w:r>
      <w:r>
        <w:rPr>
          <w:rFonts w:hint="default" w:ascii="Times New Roman" w:hAnsi="Times New Roman" w:eastAsia="Times New Roman"/>
          <w:color w:val="000000"/>
          <w:sz w:val="30"/>
          <w:szCs w:val="24"/>
          <w:lang w:val="en-US"/>
        </w:rPr>
        <w:t>2021</w:t>
      </w:r>
      <w:r>
        <w:rPr>
          <w:rFonts w:hint="eastAsia" w:ascii="仿宋_GB2312" w:hAnsi="仿宋_GB2312" w:eastAsia="仿宋_GB2312"/>
          <w:color w:val="auto"/>
          <w:sz w:val="30"/>
          <w:szCs w:val="24"/>
          <w:lang w:val="en-US"/>
        </w:rPr>
        <w:t>年度</w:t>
      </w:r>
      <w:r>
        <w:rPr>
          <w:rFonts w:hint="eastAsia" w:ascii="仿宋_GB2312" w:hAnsi="仿宋_GB2312" w:eastAsia="仿宋_GB2312"/>
          <w:color w:val="auto"/>
          <w:sz w:val="30"/>
          <w:szCs w:val="24"/>
          <w:lang w:val="en-US" w:eastAsia="zh-CN"/>
        </w:rPr>
        <w:t>无</w:t>
      </w:r>
      <w:r>
        <w:rPr>
          <w:rFonts w:hint="eastAsia" w:ascii="仿宋_GB2312" w:hAnsi="仿宋_GB2312" w:eastAsia="仿宋_GB2312"/>
          <w:color w:val="auto"/>
          <w:sz w:val="30"/>
          <w:szCs w:val="24"/>
          <w:lang w:val="en-US"/>
        </w:rPr>
        <w:t>国有资本经营预算财政拨款收入</w:t>
      </w:r>
      <w:r>
        <w:rPr>
          <w:rFonts w:hint="eastAsia" w:ascii="仿宋_GB2312" w:hAnsi="仿宋_GB2312" w:eastAsia="仿宋_GB2312"/>
          <w:color w:val="auto"/>
          <w:sz w:val="30"/>
          <w:szCs w:val="24"/>
          <w:lang w:val="en-US" w:eastAsia="zh-CN"/>
        </w:rPr>
        <w:t>、</w:t>
      </w:r>
      <w:r>
        <w:rPr>
          <w:rFonts w:hint="eastAsia" w:ascii="仿宋_GB2312" w:hAnsi="仿宋_GB2312" w:eastAsia="仿宋_GB2312"/>
          <w:color w:val="auto"/>
          <w:sz w:val="30"/>
          <w:szCs w:val="24"/>
          <w:lang w:val="en-US"/>
        </w:rPr>
        <w:t>支出</w:t>
      </w:r>
      <w:r>
        <w:rPr>
          <w:rFonts w:hint="eastAsia" w:ascii="仿宋" w:hAnsi="仿宋" w:eastAsia="仿宋" w:cs="仿宋"/>
          <w:color w:val="auto"/>
          <w:kern w:val="2"/>
          <w:sz w:val="30"/>
          <w:szCs w:val="24"/>
          <w:lang w:val="en-US" w:eastAsia="zh-CN"/>
        </w:rPr>
        <w:t>和结转</w:t>
      </w:r>
      <w:r>
        <w:rPr>
          <w:rFonts w:hint="eastAsia" w:ascii="仿宋_GB2312" w:hAnsi="仿宋_GB2312" w:eastAsia="仿宋_GB2312"/>
          <w:color w:val="auto"/>
          <w:sz w:val="30"/>
          <w:szCs w:val="24"/>
          <w:lang w:val="en-US"/>
        </w:rPr>
        <w:t>结余。</w:t>
      </w:r>
    </w:p>
    <w:p>
      <w:pPr>
        <w:pStyle w:val="3"/>
        <w:keepNext/>
        <w:keepLines/>
        <w:spacing w:line="600" w:lineRule="exact"/>
        <w:ind w:firstLine="602"/>
        <w:rPr>
          <w:rFonts w:hint="eastAsia" w:ascii="黑体" w:hAnsi="黑体" w:eastAsia="黑体"/>
          <w:b/>
          <w:color w:val="auto"/>
          <w:sz w:val="30"/>
          <w:szCs w:val="24"/>
          <w:lang w:val="en-US"/>
        </w:rPr>
      </w:pPr>
      <w:r>
        <w:rPr>
          <w:rFonts w:hint="eastAsia" w:ascii="黑体" w:hAnsi="黑体" w:eastAsia="黑体"/>
          <w:b/>
          <w:color w:val="auto"/>
          <w:sz w:val="30"/>
          <w:szCs w:val="24"/>
          <w:lang w:val="en-US"/>
        </w:rPr>
        <w:t>十、机关运行经费支出情况说明</w:t>
      </w:r>
    </w:p>
    <w:p>
      <w:pPr>
        <w:spacing w:line="580" w:lineRule="exact"/>
        <w:ind w:firstLine="600"/>
        <w:rPr>
          <w:rFonts w:hint="eastAsia" w:ascii="Times New Roman" w:hAnsi="Times New Roman" w:eastAsia="仿宋_GB2312"/>
          <w:color w:val="auto"/>
          <w:sz w:val="30"/>
          <w:szCs w:val="24"/>
          <w:lang w:val="en-US" w:eastAsia="zh-CN"/>
        </w:rPr>
      </w:pPr>
      <w:r>
        <w:rPr>
          <w:rFonts w:hint="eastAsia" w:ascii="仿宋_GB2312" w:hAnsi="仿宋_GB2312" w:eastAsia="仿宋_GB2312"/>
          <w:color w:val="auto"/>
          <w:sz w:val="30"/>
          <w:szCs w:val="24"/>
          <w:lang w:val="en-US"/>
        </w:rPr>
        <w:t>机关运行经费是指行政单位和参照公务员法管理的事业单位使用一般公共预算财政拨款安排的基本支出中的日常公用经费支出，天津市西青区大寺镇社区卫生服务中心</w:t>
      </w:r>
      <w:r>
        <w:rPr>
          <w:rFonts w:hint="default" w:ascii="Times New Roman" w:hAnsi="Times New Roman" w:eastAsia="Times New Roman"/>
          <w:color w:val="auto"/>
          <w:sz w:val="30"/>
          <w:szCs w:val="24"/>
          <w:lang w:val="en-US"/>
        </w:rPr>
        <w:t>2021</w:t>
      </w:r>
      <w:r>
        <w:rPr>
          <w:rFonts w:hint="eastAsia" w:ascii="仿宋_GB2312" w:hAnsi="仿宋_GB2312" w:eastAsia="仿宋_GB2312"/>
          <w:color w:val="auto"/>
          <w:sz w:val="30"/>
          <w:szCs w:val="24"/>
          <w:lang w:val="en-US"/>
        </w:rPr>
        <w:t>年度</w:t>
      </w:r>
      <w:r>
        <w:rPr>
          <w:rFonts w:hint="eastAsia" w:ascii="仿宋_GB2312" w:hAnsi="仿宋_GB2312" w:eastAsia="仿宋_GB2312"/>
          <w:color w:val="auto"/>
          <w:sz w:val="30"/>
          <w:szCs w:val="24"/>
          <w:lang w:val="en-US" w:eastAsia="zh-CN"/>
        </w:rPr>
        <w:t>无</w:t>
      </w:r>
      <w:r>
        <w:rPr>
          <w:rFonts w:hint="eastAsia" w:ascii="仿宋_GB2312" w:hAnsi="仿宋_GB2312" w:eastAsia="仿宋_GB2312"/>
          <w:color w:val="auto"/>
          <w:sz w:val="30"/>
          <w:szCs w:val="24"/>
          <w:lang w:val="en-US"/>
        </w:rPr>
        <w:t>机关运行经费</w:t>
      </w:r>
      <w:r>
        <w:rPr>
          <w:rFonts w:hint="eastAsia" w:ascii="仿宋_GB2312" w:hAnsi="仿宋_GB2312" w:eastAsia="仿宋_GB2312"/>
          <w:color w:val="auto"/>
          <w:sz w:val="30"/>
          <w:szCs w:val="24"/>
          <w:lang w:val="en-US" w:eastAsia="zh-CN"/>
        </w:rPr>
        <w:t>。</w:t>
      </w:r>
    </w:p>
    <w:p>
      <w:pPr>
        <w:pStyle w:val="3"/>
        <w:keepNext/>
        <w:keepLines/>
        <w:spacing w:line="600" w:lineRule="exact"/>
        <w:ind w:firstLine="602"/>
        <w:rPr>
          <w:rFonts w:hint="eastAsia" w:ascii="黑体" w:hAnsi="黑体" w:eastAsia="黑体"/>
          <w:b/>
          <w:color w:val="auto"/>
          <w:sz w:val="30"/>
          <w:szCs w:val="24"/>
          <w:lang w:val="en-US"/>
        </w:rPr>
      </w:pPr>
      <w:r>
        <w:rPr>
          <w:rFonts w:hint="eastAsia" w:ascii="黑体" w:hAnsi="黑体" w:eastAsia="黑体"/>
          <w:b/>
          <w:color w:val="auto"/>
          <w:sz w:val="30"/>
          <w:szCs w:val="24"/>
          <w:lang w:val="en-US"/>
        </w:rPr>
        <w:t>十一、政府采购支出情况说明</w:t>
      </w:r>
    </w:p>
    <w:p>
      <w:pPr>
        <w:spacing w:line="580" w:lineRule="exact"/>
        <w:ind w:firstLine="600"/>
        <w:rPr>
          <w:rFonts w:hint="default" w:ascii="Times New Roman" w:hAnsi="Times New Roman" w:eastAsia="Times New Roman"/>
          <w:color w:val="000000"/>
          <w:sz w:val="30"/>
          <w:szCs w:val="24"/>
          <w:lang w:val="en-US"/>
        </w:rPr>
      </w:pPr>
      <w:r>
        <w:rPr>
          <w:rFonts w:hint="eastAsia" w:ascii="仿宋_GB2312" w:hAnsi="仿宋_GB2312" w:eastAsia="仿宋_GB2312"/>
          <w:color w:val="000000"/>
          <w:sz w:val="30"/>
          <w:szCs w:val="24"/>
          <w:lang w:val="en-US"/>
        </w:rPr>
        <w:t>天津市西青区大寺镇社区卫生服务中心</w:t>
      </w:r>
      <w:r>
        <w:rPr>
          <w:rFonts w:hint="default" w:ascii="Times New Roman" w:hAnsi="Times New Roman" w:eastAsia="Times New Roman"/>
          <w:color w:val="000000"/>
          <w:sz w:val="30"/>
          <w:szCs w:val="24"/>
          <w:lang w:val="en-US"/>
        </w:rPr>
        <w:t>2021</w:t>
      </w:r>
      <w:r>
        <w:rPr>
          <w:rFonts w:hint="eastAsia" w:ascii="仿宋_GB2312" w:hAnsi="仿宋_GB2312" w:eastAsia="仿宋_GB2312"/>
          <w:color w:val="000000"/>
          <w:sz w:val="30"/>
          <w:szCs w:val="24"/>
          <w:lang w:val="en-US"/>
        </w:rPr>
        <w:t>年</w:t>
      </w:r>
      <w:r>
        <w:rPr>
          <w:rFonts w:hint="eastAsia" w:ascii="仿宋_GB2312" w:hAnsi="仿宋_GB2312" w:eastAsia="仿宋_GB2312"/>
          <w:color w:val="auto"/>
          <w:kern w:val="2"/>
          <w:sz w:val="30"/>
          <w:szCs w:val="24"/>
          <w:lang w:val="en-US"/>
        </w:rPr>
        <w:t>政府</w:t>
      </w:r>
      <w:r>
        <w:rPr>
          <w:rFonts w:hint="eastAsia" w:ascii="仿宋_GB2312" w:hAnsi="仿宋_GB2312" w:eastAsia="仿宋_GB2312"/>
          <w:color w:val="000000"/>
          <w:sz w:val="30"/>
          <w:szCs w:val="24"/>
          <w:lang w:val="en-US"/>
        </w:rPr>
        <w:t>采购支出总额</w:t>
      </w:r>
      <w:r>
        <w:rPr>
          <w:rFonts w:hint="default" w:ascii="Times New Roman" w:hAnsi="Times New Roman" w:eastAsia="Times New Roman"/>
          <w:color w:val="auto"/>
          <w:sz w:val="30"/>
          <w:szCs w:val="24"/>
          <w:lang w:val="en-US"/>
        </w:rPr>
        <w:t>56,473.00</w:t>
      </w:r>
      <w:r>
        <w:rPr>
          <w:rFonts w:hint="eastAsia" w:ascii="仿宋_GB2312" w:hAnsi="仿宋_GB2312" w:eastAsia="仿宋_GB2312"/>
          <w:color w:val="000000"/>
          <w:sz w:val="30"/>
          <w:szCs w:val="24"/>
          <w:lang w:val="en-US"/>
        </w:rPr>
        <w:t>元，其中：政府采购货物支出</w:t>
      </w:r>
      <w:r>
        <w:rPr>
          <w:rFonts w:hint="default" w:ascii="Times New Roman" w:hAnsi="Times New Roman" w:eastAsia="Times New Roman"/>
          <w:color w:val="auto"/>
          <w:sz w:val="30"/>
          <w:szCs w:val="24"/>
          <w:lang w:val="en-US"/>
        </w:rPr>
        <w:t>56,473.00</w:t>
      </w:r>
      <w:r>
        <w:rPr>
          <w:rFonts w:hint="eastAsia" w:ascii="仿宋_GB2312" w:hAnsi="仿宋_GB2312" w:eastAsia="仿宋_GB2312"/>
          <w:color w:val="000000"/>
          <w:sz w:val="30"/>
          <w:szCs w:val="24"/>
          <w:lang w:val="en-US"/>
        </w:rPr>
        <w:t>元。授予中小企业合同金额</w:t>
      </w:r>
      <w:r>
        <w:rPr>
          <w:rFonts w:hint="default" w:ascii="Times New Roman" w:hAnsi="Times New Roman" w:eastAsia="Times New Roman"/>
          <w:color w:val="auto"/>
          <w:sz w:val="30"/>
          <w:szCs w:val="24"/>
          <w:lang w:val="en-US"/>
        </w:rPr>
        <w:t>56,473.00</w:t>
      </w:r>
      <w:r>
        <w:rPr>
          <w:rFonts w:hint="eastAsia" w:ascii="仿宋_GB2312" w:hAnsi="仿宋_GB2312" w:eastAsia="仿宋_GB2312"/>
          <w:color w:val="000000"/>
          <w:sz w:val="30"/>
          <w:szCs w:val="24"/>
          <w:lang w:val="en-US"/>
        </w:rPr>
        <w:t>元，占政府采购支出总额的</w:t>
      </w:r>
      <w:r>
        <w:rPr>
          <w:rFonts w:hint="default" w:ascii="Times New Roman" w:hAnsi="Times New Roman" w:eastAsia="Times New Roman"/>
          <w:color w:val="auto"/>
          <w:sz w:val="30"/>
          <w:szCs w:val="24"/>
          <w:lang w:val="en-US"/>
        </w:rPr>
        <w:t>100.00</w:t>
      </w:r>
      <w:r>
        <w:rPr>
          <w:rFonts w:hint="eastAsia" w:ascii="仿宋_GB2312" w:hAnsi="仿宋_GB2312" w:eastAsia="仿宋_GB2312"/>
          <w:color w:val="000000"/>
          <w:sz w:val="30"/>
          <w:szCs w:val="24"/>
          <w:lang w:val="en-US"/>
        </w:rPr>
        <w:t>%，其中：授予小微企业合同金额</w:t>
      </w:r>
      <w:r>
        <w:rPr>
          <w:rFonts w:hint="default" w:ascii="Times New Roman" w:hAnsi="Times New Roman" w:eastAsia="Times New Roman"/>
          <w:color w:val="auto"/>
          <w:sz w:val="30"/>
          <w:szCs w:val="24"/>
          <w:lang w:val="en-US"/>
        </w:rPr>
        <w:t>0.00</w:t>
      </w:r>
      <w:r>
        <w:rPr>
          <w:rFonts w:hint="eastAsia" w:ascii="仿宋_GB2312" w:hAnsi="仿宋_GB2312" w:eastAsia="仿宋_GB2312"/>
          <w:color w:val="000000"/>
          <w:sz w:val="30"/>
          <w:szCs w:val="24"/>
          <w:lang w:val="en-US"/>
        </w:rPr>
        <w:t>元，占政府采购支出总额的</w:t>
      </w:r>
      <w:r>
        <w:rPr>
          <w:rFonts w:hint="default" w:ascii="Times New Roman" w:hAnsi="Times New Roman" w:eastAsia="Times New Roman"/>
          <w:color w:val="auto"/>
          <w:sz w:val="30"/>
          <w:szCs w:val="24"/>
          <w:lang w:val="en-US"/>
        </w:rPr>
        <w:t>0.00</w:t>
      </w:r>
      <w:r>
        <w:rPr>
          <w:rFonts w:hint="eastAsia" w:ascii="仿宋_GB2312" w:hAnsi="仿宋_GB2312" w:eastAsia="仿宋_GB2312"/>
          <w:color w:val="000000"/>
          <w:sz w:val="30"/>
          <w:szCs w:val="24"/>
          <w:lang w:val="en-US"/>
        </w:rPr>
        <w:t>%。</w:t>
      </w:r>
    </w:p>
    <w:p>
      <w:pPr>
        <w:spacing w:line="600" w:lineRule="exact"/>
        <w:ind w:firstLine="600"/>
        <w:rPr>
          <w:rFonts w:hint="eastAsia" w:ascii="黑体" w:hAnsi="黑体" w:eastAsia="黑体"/>
          <w:b/>
          <w:color w:val="auto"/>
          <w:sz w:val="30"/>
          <w:szCs w:val="24"/>
          <w:lang w:val="en-US"/>
        </w:rPr>
      </w:pPr>
      <w:r>
        <w:rPr>
          <w:rFonts w:hint="eastAsia" w:ascii="黑体" w:hAnsi="黑体" w:eastAsia="黑体"/>
          <w:b/>
          <w:color w:val="auto"/>
          <w:sz w:val="30"/>
          <w:szCs w:val="24"/>
          <w:lang w:val="zh-CN"/>
        </w:rPr>
        <w:t>十二、</w:t>
      </w:r>
      <w:r>
        <w:rPr>
          <w:rFonts w:hint="eastAsia" w:ascii="黑体" w:hAnsi="黑体" w:eastAsia="黑体"/>
          <w:b/>
          <w:color w:val="auto"/>
          <w:sz w:val="30"/>
          <w:szCs w:val="24"/>
          <w:lang w:val="en-US"/>
        </w:rPr>
        <w:t>国有资产占有使用情况说明</w:t>
      </w:r>
    </w:p>
    <w:p>
      <w:pPr>
        <w:spacing w:line="600" w:lineRule="exact"/>
        <w:ind w:firstLine="720"/>
        <w:rPr>
          <w:rFonts w:hint="eastAsia" w:ascii="楷体" w:hAnsi="楷体" w:eastAsia="楷体"/>
          <w:color w:val="auto"/>
          <w:sz w:val="30"/>
          <w:szCs w:val="24"/>
          <w:lang w:val="en-US"/>
        </w:rPr>
      </w:pPr>
      <w:r>
        <w:rPr>
          <w:rFonts w:hint="eastAsia" w:ascii="仿宋_GB2312" w:hAnsi="仿宋_GB2312" w:eastAsia="仿宋_GB2312"/>
          <w:color w:val="000000"/>
          <w:sz w:val="30"/>
          <w:szCs w:val="24"/>
          <w:lang w:val="en-US"/>
        </w:rPr>
        <w:t>截至</w:t>
      </w:r>
      <w:r>
        <w:rPr>
          <w:rFonts w:hint="default" w:ascii="Times New Roman" w:hAnsi="Times New Roman" w:eastAsia="Times New Roman"/>
          <w:color w:val="000000"/>
          <w:sz w:val="30"/>
          <w:szCs w:val="24"/>
          <w:lang w:val="en-US"/>
        </w:rPr>
        <w:t>2021</w:t>
      </w:r>
      <w:r>
        <w:rPr>
          <w:rFonts w:hint="eastAsia" w:ascii="仿宋_GB2312" w:hAnsi="仿宋_GB2312" w:eastAsia="仿宋_GB2312"/>
          <w:color w:val="000000"/>
          <w:sz w:val="30"/>
          <w:szCs w:val="24"/>
          <w:lang w:val="en-US"/>
        </w:rPr>
        <w:t>年</w:t>
      </w:r>
      <w:r>
        <w:rPr>
          <w:rFonts w:hint="default" w:ascii="Times New Roman" w:hAnsi="Times New Roman" w:eastAsia="Times New Roman"/>
          <w:color w:val="000000"/>
          <w:sz w:val="30"/>
          <w:szCs w:val="24"/>
          <w:lang w:val="en-US"/>
        </w:rPr>
        <w:t>12</w:t>
      </w:r>
      <w:r>
        <w:rPr>
          <w:rFonts w:hint="eastAsia" w:ascii="仿宋_GB2312" w:hAnsi="仿宋_GB2312" w:eastAsia="仿宋_GB2312"/>
          <w:color w:val="000000"/>
          <w:sz w:val="30"/>
          <w:szCs w:val="24"/>
          <w:lang w:val="en-US"/>
        </w:rPr>
        <w:t>月</w:t>
      </w:r>
      <w:r>
        <w:rPr>
          <w:rFonts w:hint="default" w:ascii="Times New Roman" w:hAnsi="Times New Roman" w:eastAsia="Times New Roman"/>
          <w:color w:val="000000"/>
          <w:sz w:val="30"/>
          <w:szCs w:val="24"/>
          <w:lang w:val="en-US"/>
        </w:rPr>
        <w:t>31</w:t>
      </w:r>
      <w:r>
        <w:rPr>
          <w:rFonts w:hint="eastAsia" w:ascii="仿宋_GB2312" w:hAnsi="仿宋_GB2312" w:eastAsia="仿宋_GB2312"/>
          <w:color w:val="000000"/>
          <w:sz w:val="30"/>
          <w:szCs w:val="24"/>
          <w:lang w:val="en-US"/>
        </w:rPr>
        <w:t>日，天津市西青区大寺镇社区卫生服务中心共有车辆</w:t>
      </w:r>
      <w:r>
        <w:rPr>
          <w:rFonts w:hint="default" w:ascii="Times New Roman" w:hAnsi="Times New Roman" w:eastAsia="Times New Roman"/>
          <w:color w:val="auto"/>
          <w:sz w:val="30"/>
          <w:szCs w:val="24"/>
          <w:lang w:val="en-US"/>
        </w:rPr>
        <w:t>3</w:t>
      </w:r>
      <w:r>
        <w:rPr>
          <w:rFonts w:hint="eastAsia" w:ascii="仿宋_GB2312" w:hAnsi="仿宋_GB2312" w:eastAsia="仿宋_GB2312"/>
          <w:color w:val="000000"/>
          <w:sz w:val="30"/>
          <w:szCs w:val="24"/>
          <w:lang w:val="en-US"/>
        </w:rPr>
        <w:t>辆，其中：</w:t>
      </w:r>
      <w:r>
        <w:rPr>
          <w:rFonts w:hint="eastAsia" w:ascii="仿宋_GB2312" w:hAnsi="仿宋_GB2312" w:eastAsia="仿宋_GB2312"/>
          <w:color w:val="auto"/>
          <w:sz w:val="30"/>
          <w:szCs w:val="24"/>
          <w:lang w:val="en-US"/>
        </w:rPr>
        <w:t>其他用车3辆，其他用车主要包括</w:t>
      </w:r>
      <w:r>
        <w:rPr>
          <w:rFonts w:hint="eastAsia" w:ascii="仿宋_GB2312" w:hAnsi="仿宋_GB2312" w:eastAsia="仿宋_GB2312"/>
          <w:color w:val="auto"/>
          <w:sz w:val="30"/>
          <w:szCs w:val="24"/>
          <w:lang w:val="en-US" w:eastAsia="zh-CN"/>
        </w:rPr>
        <w:t>轿车、商务车、救护车。</w:t>
      </w:r>
      <w:r>
        <w:rPr>
          <w:rFonts w:hint="eastAsia" w:ascii="仿宋_GB2312" w:hAnsi="仿宋_GB2312" w:eastAsia="仿宋_GB2312"/>
          <w:color w:val="000000"/>
          <w:sz w:val="30"/>
          <w:szCs w:val="24"/>
          <w:lang w:val="en-US"/>
        </w:rPr>
        <w:t>单价</w:t>
      </w:r>
      <w:r>
        <w:rPr>
          <w:rFonts w:hint="default" w:ascii="Times New Roman" w:hAnsi="Times New Roman" w:eastAsia="Times New Roman"/>
          <w:color w:val="000000"/>
          <w:sz w:val="30"/>
          <w:szCs w:val="24"/>
          <w:lang w:val="en-US"/>
        </w:rPr>
        <w:t>50</w:t>
      </w:r>
      <w:r>
        <w:rPr>
          <w:rFonts w:hint="eastAsia" w:ascii="仿宋_GB2312" w:hAnsi="仿宋_GB2312" w:eastAsia="仿宋_GB2312"/>
          <w:color w:val="000000"/>
          <w:sz w:val="30"/>
          <w:szCs w:val="24"/>
          <w:lang w:val="en-US"/>
        </w:rPr>
        <w:t>万元以上的通用设备</w:t>
      </w:r>
      <w:r>
        <w:rPr>
          <w:rFonts w:hint="default" w:ascii="Times New Roman" w:hAnsi="Times New Roman" w:eastAsia="Times New Roman"/>
          <w:color w:val="auto"/>
          <w:sz w:val="30"/>
          <w:szCs w:val="24"/>
          <w:lang w:val="en-US"/>
        </w:rPr>
        <w:t>0</w:t>
      </w:r>
      <w:r>
        <w:rPr>
          <w:rFonts w:hint="eastAsia" w:ascii="仿宋_GB2312" w:hAnsi="仿宋_GB2312" w:eastAsia="仿宋_GB2312"/>
          <w:color w:val="000000"/>
          <w:sz w:val="30"/>
          <w:szCs w:val="24"/>
          <w:lang w:val="en-US"/>
        </w:rPr>
        <w:t>台（套），单价</w:t>
      </w:r>
      <w:r>
        <w:rPr>
          <w:rFonts w:hint="default" w:ascii="Times New Roman" w:hAnsi="Times New Roman" w:eastAsia="Times New Roman"/>
          <w:color w:val="000000"/>
          <w:sz w:val="30"/>
          <w:szCs w:val="24"/>
          <w:lang w:val="en-US"/>
        </w:rPr>
        <w:t>100</w:t>
      </w:r>
      <w:r>
        <w:rPr>
          <w:rFonts w:hint="eastAsia" w:ascii="仿宋_GB2312" w:hAnsi="仿宋_GB2312" w:eastAsia="仿宋_GB2312"/>
          <w:color w:val="000000"/>
          <w:sz w:val="30"/>
          <w:szCs w:val="24"/>
          <w:lang w:val="en-US"/>
        </w:rPr>
        <w:t>万元以上的专用设备</w:t>
      </w:r>
      <w:r>
        <w:rPr>
          <w:rFonts w:hint="default" w:ascii="Times New Roman" w:hAnsi="Times New Roman" w:eastAsia="Times New Roman"/>
          <w:color w:val="auto"/>
          <w:sz w:val="30"/>
          <w:szCs w:val="24"/>
          <w:lang w:val="en-US"/>
        </w:rPr>
        <w:t>3</w:t>
      </w:r>
      <w:r>
        <w:rPr>
          <w:rFonts w:hint="eastAsia" w:ascii="仿宋_GB2312" w:hAnsi="仿宋_GB2312" w:eastAsia="仿宋_GB2312"/>
          <w:color w:val="000000"/>
          <w:sz w:val="30"/>
          <w:szCs w:val="24"/>
          <w:lang w:val="en-US"/>
        </w:rPr>
        <w:t>台（套）。</w:t>
      </w:r>
    </w:p>
    <w:p>
      <w:pPr>
        <w:spacing w:line="600" w:lineRule="exact"/>
        <w:ind w:firstLine="600"/>
        <w:rPr>
          <w:rFonts w:hint="eastAsia" w:ascii="黑体" w:hAnsi="黑体" w:eastAsia="黑体"/>
          <w:b/>
          <w:color w:val="auto"/>
          <w:sz w:val="30"/>
          <w:szCs w:val="24"/>
          <w:lang w:val="en-US"/>
        </w:rPr>
      </w:pPr>
      <w:r>
        <w:rPr>
          <w:rFonts w:hint="eastAsia" w:ascii="黑体" w:hAnsi="黑体" w:eastAsia="黑体"/>
          <w:b/>
          <w:color w:val="auto"/>
          <w:sz w:val="30"/>
          <w:szCs w:val="24"/>
          <w:lang w:val="zh-CN"/>
        </w:rPr>
        <w:t>十三、</w:t>
      </w:r>
      <w:r>
        <w:rPr>
          <w:rFonts w:hint="eastAsia" w:ascii="黑体" w:hAnsi="黑体" w:eastAsia="黑体"/>
          <w:b/>
          <w:color w:val="auto"/>
          <w:sz w:val="30"/>
          <w:szCs w:val="24"/>
          <w:lang w:val="en-US"/>
        </w:rPr>
        <w:t>预算绩效情况说明</w:t>
      </w:r>
    </w:p>
    <w:p>
      <w:pPr>
        <w:spacing w:line="600" w:lineRule="exact"/>
        <w:ind w:firstLine="600"/>
        <w:jc w:val="both"/>
        <w:rPr>
          <w:rFonts w:hint="eastAsia" w:ascii="仿宋_GB2312" w:hAnsi="仿宋_GB2312" w:eastAsia="仿宋_GB2312"/>
          <w:color w:val="auto"/>
          <w:sz w:val="30"/>
          <w:szCs w:val="24"/>
          <w:lang w:val="en-US"/>
        </w:rPr>
      </w:pPr>
      <w:r>
        <w:rPr>
          <w:rFonts w:hint="eastAsia" w:ascii="仿宋_GB2312" w:hAnsi="仿宋_GB2312" w:eastAsia="仿宋_GB2312"/>
          <w:color w:val="auto"/>
          <w:sz w:val="30"/>
          <w:szCs w:val="24"/>
          <w:lang w:val="en-US"/>
        </w:rPr>
        <w:t>根据预算绩效管理要求，天津市</w:t>
      </w:r>
      <w:r>
        <w:rPr>
          <w:rFonts w:hint="eastAsia" w:ascii="仿宋_GB2312" w:hAnsi="仿宋_GB2312" w:eastAsia="仿宋_GB2312"/>
          <w:color w:val="auto"/>
          <w:sz w:val="30"/>
          <w:szCs w:val="24"/>
          <w:lang w:val="en-US" w:eastAsia="zh-CN"/>
        </w:rPr>
        <w:t>西青区大寺镇社区卫生服务中心</w:t>
      </w:r>
      <w:r>
        <w:rPr>
          <w:rFonts w:hint="eastAsia" w:ascii="仿宋_GB2312" w:hAnsi="仿宋_GB2312" w:eastAsia="仿宋_GB2312"/>
          <w:color w:val="auto"/>
          <w:sz w:val="30"/>
          <w:szCs w:val="24"/>
          <w:lang w:val="en-US"/>
        </w:rPr>
        <w:t>2021年度已对</w:t>
      </w:r>
      <w:r>
        <w:rPr>
          <w:rFonts w:hint="eastAsia" w:ascii="仿宋_GB2312" w:hAnsi="仿宋_GB2312" w:eastAsia="仿宋_GB2312"/>
          <w:color w:val="auto"/>
          <w:sz w:val="30"/>
          <w:szCs w:val="24"/>
          <w:lang w:val="en-US" w:eastAsia="zh-CN"/>
        </w:rPr>
        <w:t>5</w:t>
      </w:r>
      <w:r>
        <w:rPr>
          <w:rFonts w:hint="eastAsia" w:ascii="仿宋_GB2312" w:hAnsi="仿宋_GB2312" w:eastAsia="仿宋_GB2312"/>
          <w:color w:val="auto"/>
          <w:sz w:val="30"/>
          <w:szCs w:val="24"/>
          <w:lang w:val="en-US"/>
        </w:rPr>
        <w:t>个项目开展绩效自评，涉及金额</w:t>
      </w:r>
      <w:r>
        <w:rPr>
          <w:rFonts w:hint="eastAsia" w:ascii="仿宋_GB2312" w:hAnsi="仿宋_GB2312" w:eastAsia="仿宋_GB2312"/>
          <w:color w:val="auto"/>
          <w:sz w:val="30"/>
          <w:szCs w:val="24"/>
          <w:lang w:val="en-US" w:eastAsia="zh-CN"/>
        </w:rPr>
        <w:t>9941743</w:t>
      </w:r>
      <w:r>
        <w:rPr>
          <w:rFonts w:hint="eastAsia" w:ascii="仿宋_GB2312" w:hAnsi="仿宋_GB2312" w:eastAsia="仿宋_GB2312"/>
          <w:color w:val="auto"/>
          <w:sz w:val="30"/>
          <w:szCs w:val="24"/>
          <w:lang w:val="en-US"/>
        </w:rPr>
        <w:t>元，自评结果已随部门汇总决算和“三公”经费决算一并公开。本部门2021年度已自行组织开展</w:t>
      </w:r>
      <w:r>
        <w:rPr>
          <w:rFonts w:hint="eastAsia" w:ascii="仿宋_GB2312" w:hAnsi="仿宋_GB2312" w:eastAsia="仿宋_GB2312"/>
          <w:color w:val="auto"/>
          <w:sz w:val="30"/>
          <w:szCs w:val="24"/>
          <w:lang w:val="en-US" w:eastAsia="zh-CN"/>
        </w:rPr>
        <w:t>5</w:t>
      </w:r>
      <w:r>
        <w:rPr>
          <w:rFonts w:hint="eastAsia" w:ascii="仿宋_GB2312" w:hAnsi="仿宋_GB2312" w:eastAsia="仿宋_GB2312"/>
          <w:color w:val="auto"/>
          <w:sz w:val="30"/>
          <w:szCs w:val="24"/>
          <w:lang w:val="en-US"/>
        </w:rPr>
        <w:t>个项目绩效评价，涉及金额</w:t>
      </w:r>
      <w:r>
        <w:rPr>
          <w:rFonts w:hint="eastAsia" w:ascii="Times New Roman" w:hAnsi="Times New Roman" w:eastAsia="宋体"/>
          <w:color w:val="auto"/>
          <w:sz w:val="30"/>
          <w:szCs w:val="24"/>
          <w:lang w:val="en-US" w:eastAsia="zh-CN"/>
        </w:rPr>
        <w:t>9941743</w:t>
      </w:r>
      <w:r>
        <w:rPr>
          <w:rFonts w:hint="eastAsia" w:ascii="仿宋_GB2312" w:hAnsi="仿宋_GB2312" w:eastAsia="仿宋_GB2312"/>
          <w:color w:val="auto"/>
          <w:sz w:val="30"/>
          <w:szCs w:val="24"/>
          <w:lang w:val="en-US"/>
        </w:rPr>
        <w:t>元。</w:t>
      </w:r>
    </w:p>
    <w:p>
      <w:pPr>
        <w:spacing w:line="600" w:lineRule="exact"/>
        <w:ind w:firstLine="600"/>
        <w:rPr>
          <w:rFonts w:hint="eastAsia" w:ascii="黑体" w:hAnsi="黑体" w:eastAsia="黑体"/>
          <w:b/>
          <w:color w:val="auto"/>
          <w:sz w:val="30"/>
          <w:szCs w:val="24"/>
          <w:lang w:val="en-US"/>
        </w:rPr>
      </w:pPr>
      <w:r>
        <w:rPr>
          <w:rFonts w:hint="eastAsia" w:ascii="黑体" w:hAnsi="黑体" w:eastAsia="黑体"/>
          <w:b/>
          <w:color w:val="auto"/>
          <w:sz w:val="30"/>
          <w:szCs w:val="24"/>
          <w:lang w:val="zh-CN"/>
        </w:rPr>
        <w:t>十四、</w:t>
      </w:r>
      <w:r>
        <w:rPr>
          <w:rFonts w:hint="eastAsia" w:ascii="黑体" w:hAnsi="黑体" w:eastAsia="黑体"/>
          <w:b/>
          <w:color w:val="auto"/>
          <w:sz w:val="30"/>
          <w:szCs w:val="24"/>
          <w:lang w:val="en-US"/>
        </w:rPr>
        <w:t>教育、医疗卫生、社会保障和就业、住房保障、涉农补贴等民生支出情况说明</w:t>
      </w:r>
    </w:p>
    <w:p>
      <w:pPr>
        <w:rPr>
          <w:rFonts w:hint="eastAsia" w:ascii="仿宋_GB2312" w:hAnsi="仿宋_GB2312" w:eastAsia="仿宋_GB2312"/>
          <w:b/>
          <w:color w:val="000000"/>
          <w:sz w:val="30"/>
          <w:szCs w:val="24"/>
          <w:lang w:val="en-US"/>
        </w:rPr>
      </w:pPr>
      <w:r>
        <w:rPr>
          <w:rFonts w:hint="eastAsia" w:ascii="仿宋_GB2312" w:hAnsi="仿宋_GB2312" w:eastAsia="仿宋_GB2312"/>
          <w:color w:val="auto"/>
          <w:sz w:val="30"/>
          <w:szCs w:val="24"/>
          <w:lang w:val="en-US"/>
        </w:rPr>
        <w:t>天津市</w:t>
      </w:r>
      <w:r>
        <w:rPr>
          <w:rFonts w:hint="eastAsia" w:ascii="仿宋_GB2312" w:hAnsi="仿宋_GB2312" w:eastAsia="仿宋_GB2312"/>
          <w:color w:val="auto"/>
          <w:sz w:val="30"/>
          <w:szCs w:val="24"/>
          <w:lang w:val="en-US" w:eastAsia="zh-CN"/>
        </w:rPr>
        <w:t>西青区大寺镇社区卫生服务中心2021年度无</w:t>
      </w:r>
      <w:r>
        <w:rPr>
          <w:rFonts w:hint="eastAsia" w:ascii="仿宋_GB2312" w:hAnsi="仿宋_GB2312" w:eastAsia="仿宋_GB2312"/>
          <w:color w:val="auto"/>
          <w:sz w:val="30"/>
          <w:szCs w:val="24"/>
          <w:lang w:val="en-US"/>
        </w:rPr>
        <w:t>教育、医疗卫生、社会保障和就业、住房保障、涉农补贴等民生支出情况。</w:t>
      </w:r>
    </w:p>
    <w:p>
      <w:pPr>
        <w:rPr>
          <w:rFonts w:hint="default"/>
          <w:sz w:val="24"/>
          <w:szCs w:val="24"/>
          <w:lang w:val="en-US"/>
        </w:rPr>
      </w:pPr>
    </w:p>
    <w:p>
      <w:pPr>
        <w:rPr>
          <w:rFonts w:hint="default"/>
          <w:sz w:val="24"/>
          <w:szCs w:val="24"/>
          <w:lang w:val="en-US"/>
        </w:rPr>
      </w:pPr>
    </w:p>
    <w:p>
      <w:pPr>
        <w:pStyle w:val="2"/>
        <w:numPr>
          <w:ilvl w:val="0"/>
          <w:numId w:val="1"/>
        </w:numPr>
        <w:jc w:val="center"/>
        <w:rPr>
          <w:rFonts w:hint="default" w:ascii="方正小标宋简体" w:hAnsi="方正小标宋简体" w:eastAsia="方正小标宋简体" w:cs="方正小标宋简体"/>
          <w:b/>
          <w:sz w:val="44"/>
          <w:szCs w:val="44"/>
          <w:lang w:val="en-US"/>
        </w:rPr>
      </w:pPr>
      <w:r>
        <w:rPr>
          <w:rFonts w:hint="default" w:ascii="方正小标宋简体" w:hAnsi="方正小标宋简体" w:eastAsia="方正小标宋简体" w:cs="方正小标宋简体"/>
          <w:b/>
          <w:sz w:val="44"/>
          <w:szCs w:val="44"/>
          <w:lang w:val="en-US"/>
        </w:rPr>
        <w:t>名词解释</w:t>
      </w:r>
    </w:p>
    <w:p>
      <w:pPr>
        <w:pStyle w:val="2"/>
        <w:numPr>
          <w:ilvl w:val="0"/>
          <w:numId w:val="0"/>
        </w:numPr>
        <w:jc w:val="both"/>
        <w:outlineLvl w:val="0"/>
        <w:rPr>
          <w:rFonts w:hint="default"/>
          <w:b/>
          <w:sz w:val="44"/>
          <w:szCs w:val="24"/>
          <w:lang w:val="en-US"/>
        </w:rPr>
      </w:pPr>
    </w:p>
    <w:p>
      <w:pPr>
        <w:spacing w:line="600" w:lineRule="exact"/>
        <w:ind w:firstLine="600"/>
        <w:rPr>
          <w:rFonts w:hint="eastAsia" w:ascii="仿宋_GB2312" w:hAnsi="仿宋_GB2312" w:eastAsia="仿宋_GB2312"/>
          <w:color w:val="auto"/>
          <w:sz w:val="30"/>
          <w:szCs w:val="24"/>
          <w:lang w:val="en-US"/>
        </w:rPr>
      </w:pPr>
      <w:r>
        <w:rPr>
          <w:rFonts w:hint="eastAsia" w:ascii="仿宋_GB2312" w:hAnsi="仿宋_GB2312" w:eastAsia="仿宋_GB2312"/>
          <w:color w:val="auto"/>
          <w:sz w:val="30"/>
          <w:szCs w:val="24"/>
          <w:lang w:val="en-US"/>
        </w:rPr>
        <w:t>1</w:t>
      </w:r>
      <w:r>
        <w:rPr>
          <w:rFonts w:hint="eastAsia" w:ascii="宋体" w:hAnsi="宋体" w:eastAsia="宋体"/>
          <w:color w:val="auto"/>
          <w:sz w:val="24"/>
          <w:szCs w:val="24"/>
          <w:lang w:val="en-US"/>
        </w:rPr>
        <w:t>.</w:t>
      </w:r>
      <w:r>
        <w:rPr>
          <w:rFonts w:hint="eastAsia" w:ascii="仿宋_GB2312" w:hAnsi="仿宋_GB2312" w:eastAsia="仿宋_GB2312"/>
          <w:color w:val="auto"/>
          <w:sz w:val="30"/>
          <w:szCs w:val="24"/>
          <w:lang w:val="en-US"/>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rPr>
          <w:rFonts w:hint="eastAsia" w:ascii="仿宋_GB2312" w:hAnsi="仿宋_GB2312" w:eastAsia="仿宋_GB2312"/>
          <w:color w:val="auto"/>
          <w:sz w:val="30"/>
          <w:szCs w:val="24"/>
          <w:lang w:val="en-US"/>
        </w:rPr>
      </w:pPr>
      <w:r>
        <w:rPr>
          <w:rFonts w:hint="eastAsia" w:ascii="仿宋_GB2312" w:hAnsi="仿宋_GB2312" w:eastAsia="仿宋_GB2312"/>
          <w:color w:val="auto"/>
          <w:sz w:val="30"/>
          <w:szCs w:val="24"/>
          <w:lang w:val="en-US"/>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rPr>
          <w:rFonts w:hint="eastAsia" w:ascii="仿宋_GB2312" w:hAnsi="仿宋_GB2312" w:eastAsia="仿宋_GB2312"/>
          <w:color w:val="auto"/>
          <w:sz w:val="30"/>
          <w:szCs w:val="24"/>
          <w:lang w:val="en-US"/>
        </w:rPr>
      </w:pPr>
      <w:r>
        <w:rPr>
          <w:rFonts w:hint="eastAsia" w:ascii="仿宋_GB2312" w:hAnsi="仿宋_GB2312" w:eastAsia="仿宋_GB2312"/>
          <w:color w:val="auto"/>
          <w:sz w:val="30"/>
          <w:szCs w:val="24"/>
          <w:lang w:val="en-US"/>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rPr>
          <w:rFonts w:hint="eastAsia" w:ascii="黑体" w:hAnsi="黑体" w:eastAsia="黑体"/>
          <w:color w:val="auto"/>
          <w:kern w:val="2"/>
          <w:sz w:val="32"/>
          <w:szCs w:val="24"/>
          <w:lang w:val="zh-CN"/>
        </w:rPr>
      </w:pPr>
    </w:p>
    <w:p>
      <w:pPr>
        <w:rPr>
          <w:rFonts w:hint="eastAsia" w:ascii="黑体" w:hAnsi="黑体" w:eastAsia="黑体"/>
          <w:color w:val="auto"/>
          <w:kern w:val="2"/>
          <w:sz w:val="32"/>
          <w:szCs w:val="24"/>
          <w:lang w:val="zh-CN"/>
        </w:rPr>
      </w:pPr>
    </w:p>
    <w:sectPr>
      <w:footerReference r:id="rId5" w:type="default"/>
      <w:pgSz w:w="12240" w:h="15840"/>
      <w:pgMar w:top="1440" w:right="1800" w:bottom="1440" w:left="1800" w:header="720" w:footer="720" w:gutter="0"/>
      <w:lnNumType w:countBy="0" w:distance="36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sz w:val="18"/>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sz w:val="18"/>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sz w:val="18"/>
        <w:szCs w:val="24"/>
      </w:rPr>
    </w:pPr>
    <w:r>
      <w:rPr>
        <w:rFonts w:hint="default"/>
        <w:sz w:val="18"/>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sz w:val="18"/>
                              <w:szCs w:val="24"/>
                            </w:rPr>
                          </w:pPr>
                          <w:r>
                            <w:rPr>
                              <w:rFonts w:hint="default"/>
                              <w:sz w:val="18"/>
                              <w:szCs w:val="24"/>
                            </w:rPr>
                            <w:fldChar w:fldCharType="begin"/>
                          </w:r>
                          <w:r>
                            <w:rPr>
                              <w:rFonts w:hint="default"/>
                              <w:sz w:val="18"/>
                              <w:szCs w:val="24"/>
                            </w:rPr>
                            <w:instrText xml:space="preserve"> PAGE  \* MERGEFORMAT </w:instrText>
                          </w:r>
                          <w:r>
                            <w:rPr>
                              <w:rFonts w:hint="default"/>
                              <w:sz w:val="18"/>
                              <w:szCs w:val="24"/>
                            </w:rPr>
                            <w:fldChar w:fldCharType="separate"/>
                          </w:r>
                          <w:r>
                            <w:rPr>
                              <w:rFonts w:hint="default"/>
                              <w:sz w:val="18"/>
                              <w:szCs w:val="24"/>
                            </w:rPr>
                            <w:t>1</w:t>
                          </w:r>
                          <w:r>
                            <w:rPr>
                              <w:rFonts w:hint="default"/>
                              <w:sz w:val="18"/>
                              <w:szCs w:val="24"/>
                            </w:rPr>
                            <w:fldChar w:fldCharType="end"/>
                          </w:r>
                        </w:p>
                      </w:txbxContent>
                    </wps:txbx>
                    <wps:bodyPr vert="horz" wrap="none" lIns="0" tIns="0" rIns="0" bIns="0" anchor="t" anchorCtr="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qQLy/dAQAAvgMAAA4AAAAAAAAA&#10;AQAgAAAAHgEAAGRycy9lMm9Eb2MueG1sUEsFBgAAAAAGAAYAWQEAAG0FAAAAAA==&#10;">
              <v:fill on="f" focussize="0,0"/>
              <v:stroke on="f"/>
              <v:imagedata o:title=""/>
              <o:lock v:ext="edit" aspectratio="f"/>
              <v:textbox inset="0mm,0mm,0mm,0mm" style="mso-fit-shape-to-text:t;">
                <w:txbxContent>
                  <w:p>
                    <w:pPr>
                      <w:pStyle w:val="4"/>
                      <w:rPr>
                        <w:rFonts w:hint="default"/>
                        <w:sz w:val="18"/>
                        <w:szCs w:val="24"/>
                      </w:rPr>
                    </w:pPr>
                    <w:r>
                      <w:rPr>
                        <w:rFonts w:hint="default"/>
                        <w:sz w:val="18"/>
                        <w:szCs w:val="24"/>
                      </w:rPr>
                      <w:fldChar w:fldCharType="begin"/>
                    </w:r>
                    <w:r>
                      <w:rPr>
                        <w:rFonts w:hint="default"/>
                        <w:sz w:val="18"/>
                        <w:szCs w:val="24"/>
                      </w:rPr>
                      <w:instrText xml:space="preserve"> PAGE  \* MERGEFORMAT </w:instrText>
                    </w:r>
                    <w:r>
                      <w:rPr>
                        <w:rFonts w:hint="default"/>
                        <w:sz w:val="18"/>
                        <w:szCs w:val="24"/>
                      </w:rPr>
                      <w:fldChar w:fldCharType="separate"/>
                    </w:r>
                    <w:r>
                      <w:rPr>
                        <w:rFonts w:hint="default"/>
                        <w:sz w:val="18"/>
                        <w:szCs w:val="24"/>
                      </w:rPr>
                      <w:t>1</w:t>
                    </w:r>
                    <w:r>
                      <w:rPr>
                        <w:rFonts w:hint="default"/>
                        <w:sz w:val="18"/>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C3C00C"/>
    <w:multiLevelType w:val="multilevel"/>
    <w:tmpl w:val="0DC3C00C"/>
    <w:lvl w:ilvl="0" w:tentative="0">
      <w:start w:val="4"/>
      <w:numFmt w:val="chineseCounting"/>
      <w:suff w:val="space"/>
      <w:lvlText w:val="第%1部分"/>
      <w:lvlJc w:val="left"/>
      <w:rPr>
        <w:rFonts w:hint="default" w:ascii="方正小标宋简体" w:hAnsi="方正小标宋简体" w:eastAsia="方正小标宋简体" w:cs="方正小标宋简体"/>
        <w:b/>
        <w:sz w:val="44"/>
        <w:szCs w:val="44"/>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lNGJjNmM2NmU0ZTgwNmZmMzRjNzAzOGVkYTVlNWEifQ=="/>
  </w:docVars>
  <w:rsids>
    <w:rsidRoot w:val="00172A27"/>
    <w:rsid w:val="356D51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99" w:semiHidden="0" w:name="Normal"/>
    <w:lsdException w:uiPriority="99" w:semiHidden="0" w:name="heading 1"/>
    <w:lsdException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uiPriority="99" w:semiHidden="0" w:name="header"/>
    <w:lsdException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qFormat="1" w:unhideWhenUsed="0" w:uiPriority="99" w:semiHidden="0" w:name="Light Shading"/>
    <w:lsdException w:qFormat="1" w:unhideWhenUsed="0" w:uiPriority="99" w:semiHidden="0" w:name="Light List"/>
    <w:lsdException w:qFormat="1" w:unhideWhenUsed="0" w:uiPriority="99" w:semiHidden="0" w:name="Light Grid"/>
    <w:lsdException w:qFormat="1" w:unhideWhenUsed="0" w:uiPriority="99" w:semiHidden="0" w:name="Medium Shading 1"/>
    <w:lsdException w:qFormat="1" w:unhideWhenUsed="0" w:uiPriority="99" w:semiHidden="0" w:name="Medium Shading 2"/>
    <w:lsdException w:qFormat="1" w:unhideWhenUsed="0" w:uiPriority="99" w:semiHidden="0" w:name="Medium List 1"/>
    <w:lsdException w:qFormat="1" w:unhideWhenUsed="0" w:uiPriority="99" w:semiHidden="0" w:name="Medium List 2"/>
    <w:lsdException w:qFormat="1" w:unhideWhenUsed="0" w:uiPriority="99" w:semiHidden="0" w:name="Medium Grid 1"/>
    <w:lsdException w:qFormat="1" w:unhideWhenUsed="0" w:uiPriority="99" w:semiHidden="0" w:name="Medium Grid 2"/>
    <w:lsdException w:qFormat="1" w:unhideWhenUsed="0" w:uiPriority="99" w:semiHidden="0" w:name="Medium Grid 3"/>
    <w:lsdException w:qFormat="1" w:unhideWhenUsed="0" w:uiPriority="99" w:semiHidden="0" w:name="Dark List"/>
    <w:lsdException w:qFormat="1" w:unhideWhenUsed="0" w:uiPriority="99" w:semiHidden="0" w:name="Colorful Shading"/>
    <w:lsdException w:qFormat="1" w:unhideWhenUsed="0" w:uiPriority="99" w:semiHidden="0" w:name="Colorful List"/>
    <w:lsdException w:qFormat="1" w:unhideWhenUsed="0" w:uiPriority="99" w:semiHidden="0" w:name="Colorful Grid"/>
    <w:lsdException w:qFormat="1" w:unhideWhenUsed="0" w:uiPriority="99" w:semiHidden="0" w:name="Light Shading Accent 1"/>
    <w:lsdException w:qFormat="1" w:unhideWhenUsed="0" w:uiPriority="99" w:semiHidden="0" w:name="Light List Accent 1"/>
    <w:lsdException w:qFormat="1" w:unhideWhenUsed="0" w:uiPriority="99" w:semiHidden="0" w:name="Light Grid Accent 1"/>
    <w:lsdException w:qFormat="1" w:unhideWhenUsed="0" w:uiPriority="99" w:semiHidden="0" w:name="Medium Shading 1 Accent 1"/>
    <w:lsdException w:qFormat="1" w:unhideWhenUsed="0" w:uiPriority="99" w:semiHidden="0" w:name="Medium Shading 2 Accent 1"/>
    <w:lsdException w:qFormat="1" w:unhideWhenUsed="0" w:uiPriority="99" w:semiHidden="0" w:name="Medium List 1 Accent 1"/>
    <w:lsdException w:qFormat="1" w:unhideWhenUsed="0" w:uiPriority="99" w:semiHidden="0" w:name="Medium List 2 Accent 1"/>
    <w:lsdException w:qFormat="1" w:unhideWhenUsed="0" w:uiPriority="99" w:semiHidden="0" w:name="Medium Grid 1 Accent 1"/>
    <w:lsdException w:qFormat="1" w:unhideWhenUsed="0" w:uiPriority="99" w:semiHidden="0" w:name="Medium Grid 2 Accent 1"/>
    <w:lsdException w:qFormat="1" w:unhideWhenUsed="0" w:uiPriority="99" w:semiHidden="0" w:name="Medium Grid 3 Accent 1"/>
    <w:lsdException w:qFormat="1" w:unhideWhenUsed="0" w:uiPriority="99" w:semiHidden="0" w:name="Dark List Accent 1"/>
    <w:lsdException w:qFormat="1" w:unhideWhenUsed="0" w:uiPriority="99" w:semiHidden="0" w:name="Colorful Shading Accent 1"/>
    <w:lsdException w:qFormat="1" w:unhideWhenUsed="0" w:uiPriority="99" w:semiHidden="0" w:name="Colorful List Accent 1"/>
    <w:lsdException w:qFormat="1" w:unhideWhenUsed="0" w:uiPriority="99" w:semiHidden="0" w:name="Colorful Grid Accent 1"/>
    <w:lsdException w:qFormat="1" w:unhideWhenUsed="0" w:uiPriority="99" w:semiHidden="0" w:name="Light Shading Accent 2"/>
    <w:lsdException w:qFormat="1" w:unhideWhenUsed="0" w:uiPriority="99" w:semiHidden="0" w:name="Light List Accent 2"/>
    <w:lsdException w:qFormat="1" w:unhideWhenUsed="0" w:uiPriority="99" w:semiHidden="0" w:name="Light Grid Accent 2"/>
    <w:lsdException w:qFormat="1" w:unhideWhenUsed="0" w:uiPriority="99" w:semiHidden="0" w:name="Medium Shading 1 Accent 2"/>
    <w:lsdException w:qFormat="1" w:unhideWhenUsed="0" w:uiPriority="99" w:semiHidden="0" w:name="Medium Shading 2 Accent 2"/>
    <w:lsdException w:qFormat="1" w:unhideWhenUsed="0" w:uiPriority="99" w:semiHidden="0" w:name="Medium List 1 Accent 2"/>
    <w:lsdException w:qFormat="1" w:unhideWhenUsed="0" w:uiPriority="99" w:semiHidden="0" w:name="Medium List 2 Accent 2"/>
    <w:lsdException w:qFormat="1" w:unhideWhenUsed="0" w:uiPriority="99" w:semiHidden="0" w:name="Medium Grid 1 Accent 2"/>
    <w:lsdException w:qFormat="1" w:unhideWhenUsed="0" w:uiPriority="99" w:semiHidden="0" w:name="Medium Grid 2 Accent 2"/>
    <w:lsdException w:qFormat="1" w:unhideWhenUsed="0" w:uiPriority="99" w:semiHidden="0" w:name="Medium Grid 3 Accent 2"/>
    <w:lsdException w:qFormat="1" w:unhideWhenUsed="0" w:uiPriority="99" w:semiHidden="0" w:name="Dark List Accent 2"/>
    <w:lsdException w:qFormat="1" w:unhideWhenUsed="0" w:uiPriority="99" w:semiHidden="0" w:name="Colorful Shading Accent 2"/>
    <w:lsdException w:qFormat="1" w:unhideWhenUsed="0" w:uiPriority="99" w:semiHidden="0" w:name="Colorful List Accent 2"/>
    <w:lsdException w:qFormat="1" w:unhideWhenUsed="0" w:uiPriority="99" w:semiHidden="0" w:name="Colorful Grid Accent 2"/>
    <w:lsdException w:qFormat="1" w:unhideWhenUsed="0" w:uiPriority="99" w:semiHidden="0" w:name="Light Shading Accent 3"/>
    <w:lsdException w:qFormat="1" w:unhideWhenUsed="0" w:uiPriority="99" w:semiHidden="0" w:name="Light List Accent 3"/>
    <w:lsdException w:qFormat="1" w:unhideWhenUsed="0" w:uiPriority="99" w:semiHidden="0" w:name="Light Grid Accent 3"/>
    <w:lsdException w:qFormat="1" w:unhideWhenUsed="0" w:uiPriority="99" w:semiHidden="0" w:name="Medium Shading 1 Accent 3"/>
    <w:lsdException w:qFormat="1" w:unhideWhenUsed="0" w:uiPriority="99" w:semiHidden="0" w:name="Medium Shading 2 Accent 3"/>
    <w:lsdException w:qFormat="1" w:unhideWhenUsed="0" w:uiPriority="99" w:semiHidden="0" w:name="Medium List 1 Accent 3"/>
    <w:lsdException w:qFormat="1" w:unhideWhenUsed="0" w:uiPriority="99" w:semiHidden="0" w:name="Medium List 2 Accent 3"/>
    <w:lsdException w:qFormat="1" w:unhideWhenUsed="0" w:uiPriority="99" w:semiHidden="0" w:name="Medium Grid 1 Accent 3"/>
    <w:lsdException w:qFormat="1" w:unhideWhenUsed="0" w:uiPriority="99" w:semiHidden="0" w:name="Medium Grid 2 Accent 3"/>
    <w:lsdException w:qFormat="1" w:unhideWhenUsed="0" w:uiPriority="99" w:semiHidden="0" w:name="Medium Grid 3 Accent 3"/>
    <w:lsdException w:qFormat="1" w:unhideWhenUsed="0" w:uiPriority="99" w:semiHidden="0" w:name="Dark List Accent 3"/>
    <w:lsdException w:qFormat="1" w:unhideWhenUsed="0" w:uiPriority="99" w:semiHidden="0" w:name="Colorful Shading Accent 3"/>
    <w:lsdException w:qFormat="1" w:unhideWhenUsed="0" w:uiPriority="99" w:semiHidden="0" w:name="Colorful List Accent 3"/>
    <w:lsdException w:qFormat="1" w:unhideWhenUsed="0" w:uiPriority="99" w:semiHidden="0" w:name="Colorful Grid Accent 3"/>
    <w:lsdException w:qFormat="1" w:unhideWhenUsed="0" w:uiPriority="99" w:semiHidden="0" w:name="Light Shading Accent 4"/>
    <w:lsdException w:qFormat="1" w:unhideWhenUsed="0" w:uiPriority="99" w:semiHidden="0" w:name="Light List Accent 4"/>
    <w:lsdException w:qFormat="1" w:unhideWhenUsed="0" w:uiPriority="99" w:semiHidden="0" w:name="Light Grid Accent 4"/>
    <w:lsdException w:qFormat="1" w:unhideWhenUsed="0" w:uiPriority="99" w:semiHidden="0" w:name="Medium Shading 1 Accent 4"/>
    <w:lsdException w:qFormat="1" w:unhideWhenUsed="0" w:uiPriority="99" w:semiHidden="0" w:name="Medium Shading 2 Accent 4"/>
    <w:lsdException w:qFormat="1" w:unhideWhenUsed="0" w:uiPriority="99" w:semiHidden="0" w:name="Medium List 1 Accent 4"/>
    <w:lsdException w:qFormat="1" w:unhideWhenUsed="0" w:uiPriority="99" w:semiHidden="0" w:name="Medium List 2 Accent 4"/>
    <w:lsdException w:qFormat="1" w:unhideWhenUsed="0" w:uiPriority="99" w:semiHidden="0" w:name="Medium Grid 1 Accent 4"/>
    <w:lsdException w:qFormat="1" w:unhideWhenUsed="0" w:uiPriority="99" w:semiHidden="0" w:name="Medium Grid 2 Accent 4"/>
    <w:lsdException w:qFormat="1" w:unhideWhenUsed="0" w:uiPriority="99" w:semiHidden="0" w:name="Medium Grid 3 Accent 4"/>
    <w:lsdException w:qFormat="1" w:unhideWhenUsed="0" w:uiPriority="99" w:semiHidden="0" w:name="Dark List Accent 4"/>
    <w:lsdException w:qFormat="1" w:unhideWhenUsed="0" w:uiPriority="99" w:semiHidden="0" w:name="Colorful Shading Accent 4"/>
    <w:lsdException w:qFormat="1" w:unhideWhenUsed="0" w:uiPriority="99" w:semiHidden="0" w:name="Colorful List Accent 4"/>
    <w:lsdException w:qFormat="1" w:unhideWhenUsed="0" w:uiPriority="99" w:semiHidden="0" w:name="Colorful Grid Accent 4"/>
    <w:lsdException w:qFormat="1" w:unhideWhenUsed="0" w:uiPriority="99" w:semiHidden="0" w:name="Light Shading Accent 5"/>
    <w:lsdException w:qFormat="1" w:unhideWhenUsed="0" w:uiPriority="99" w:semiHidden="0" w:name="Light List Accent 5"/>
    <w:lsdException w:qFormat="1" w:unhideWhenUsed="0" w:uiPriority="99" w:semiHidden="0" w:name="Light Grid Accent 5"/>
    <w:lsdException w:qFormat="1" w:unhideWhenUsed="0" w:uiPriority="99" w:semiHidden="0" w:name="Medium Shading 1 Accent 5"/>
    <w:lsdException w:qFormat="1" w:unhideWhenUsed="0" w:uiPriority="99" w:semiHidden="0" w:name="Medium Shading 2 Accent 5"/>
    <w:lsdException w:qFormat="1" w:unhideWhenUsed="0" w:uiPriority="99" w:semiHidden="0" w:name="Medium List 1 Accent 5"/>
    <w:lsdException w:qFormat="1" w:unhideWhenUsed="0" w:uiPriority="99" w:semiHidden="0" w:name="Medium List 2 Accent 5"/>
    <w:lsdException w:qFormat="1" w:unhideWhenUsed="0" w:uiPriority="99" w:semiHidden="0" w:name="Medium Grid 1 Accent 5"/>
    <w:lsdException w:qFormat="1" w:unhideWhenUsed="0" w:uiPriority="99" w:semiHidden="0" w:name="Medium Grid 2 Accent 5"/>
    <w:lsdException w:qFormat="1" w:unhideWhenUsed="0" w:uiPriority="99" w:semiHidden="0" w:name="Medium Grid 3 Accent 5"/>
    <w:lsdException w:qFormat="1" w:unhideWhenUsed="0" w:uiPriority="99" w:semiHidden="0" w:name="Dark List Accent 5"/>
    <w:lsdException w:qFormat="1" w:unhideWhenUsed="0" w:uiPriority="99" w:semiHidden="0" w:name="Colorful Shading Accent 5"/>
    <w:lsdException w:qFormat="1" w:unhideWhenUsed="0" w:uiPriority="99" w:semiHidden="0" w:name="Colorful List Accent 5"/>
    <w:lsdException w:qFormat="1" w:unhideWhenUsed="0" w:uiPriority="99" w:semiHidden="0" w:name="Colorful Grid Accent 5"/>
    <w:lsdException w:qFormat="1" w:unhideWhenUsed="0" w:uiPriority="99" w:semiHidden="0" w:name="Light Shading Accent 6"/>
    <w:lsdException w:qFormat="1" w:unhideWhenUsed="0" w:uiPriority="99" w:semiHidden="0" w:name="Light List Accent 6"/>
    <w:lsdException w:qFormat="1" w:unhideWhenUsed="0" w:uiPriority="99" w:semiHidden="0" w:name="Light Grid Accent 6"/>
    <w:lsdException w:qFormat="1" w:unhideWhenUsed="0" w:uiPriority="99" w:semiHidden="0" w:name="Medium Shading 1 Accent 6"/>
    <w:lsdException w:qFormat="1" w:unhideWhenUsed="0" w:uiPriority="99" w:semiHidden="0" w:name="Medium Shading 2 Accent 6"/>
    <w:lsdException w:qFormat="1" w:unhideWhenUsed="0" w:uiPriority="99" w:semiHidden="0" w:name="Medium List 1 Accent 6"/>
    <w:lsdException w:qFormat="1" w:unhideWhenUsed="0" w:uiPriority="99" w:semiHidden="0" w:name="Medium List 2 Accent 6"/>
    <w:lsdException w:qFormat="1" w:unhideWhenUsed="0" w:uiPriority="99" w:semiHidden="0" w:name="Medium Grid 1 Accent 6"/>
    <w:lsdException w:qFormat="1" w:unhideWhenUsed="0" w:uiPriority="99" w:semiHidden="0" w:name="Medium Grid 2 Accent 6"/>
    <w:lsdException w:qFormat="1" w:unhideWhenUsed="0" w:uiPriority="99" w:semiHidden="0" w:name="Medium Grid 3 Accent 6"/>
    <w:lsdException w:qFormat="1" w:unhideWhenUsed="0" w:uiPriority="99" w:semiHidden="0" w:name="Dark List Accent 6"/>
    <w:lsdException w:qFormat="1" w:unhideWhenUsed="0" w:uiPriority="99" w:semiHidden="0" w:name="Colorful Shading Accent 6"/>
    <w:lsdException w:qFormat="1" w:unhideWhenUsed="0" w:uiPriority="99" w:semiHidden="0" w:name="Colorful List Accent 6"/>
    <w:lsdException w:qFormat="1" w:unhideWhenUsed="0" w:uiPriority="99" w:semiHidden="0" w:name="Colorful Grid Accent 6"/>
  </w:latentStyles>
  <w:style w:type="paragraph" w:default="1" w:styleId="1">
    <w:name w:val="Normal"/>
    <w:unhideWhenUsed/>
    <w:uiPriority w:val="99"/>
    <w:pPr>
      <w:widowControl w:val="0"/>
      <w:autoSpaceDE w:val="0"/>
      <w:autoSpaceDN w:val="0"/>
      <w:adjustRightInd w:val="0"/>
    </w:pPr>
    <w:rPr>
      <w:rFonts w:hint="default"/>
      <w:sz w:val="24"/>
      <w:szCs w:val="24"/>
    </w:rPr>
  </w:style>
  <w:style w:type="paragraph" w:styleId="2">
    <w:name w:val="heading 1"/>
    <w:unhideWhenUsed/>
    <w:uiPriority w:val="99"/>
    <w:pPr>
      <w:widowControl w:val="0"/>
      <w:autoSpaceDE w:val="0"/>
      <w:autoSpaceDN w:val="0"/>
      <w:adjustRightInd w:val="0"/>
    </w:pPr>
    <w:rPr>
      <w:rFonts w:hint="default"/>
      <w:sz w:val="24"/>
      <w:szCs w:val="24"/>
    </w:rPr>
  </w:style>
  <w:style w:type="paragraph" w:styleId="3">
    <w:name w:val="heading 2"/>
    <w:unhideWhenUsed/>
    <w:uiPriority w:val="99"/>
    <w:pPr>
      <w:widowControl w:val="0"/>
      <w:autoSpaceDE w:val="0"/>
      <w:autoSpaceDN w:val="0"/>
      <w:adjustRightInd w:val="0"/>
    </w:pPr>
    <w:rPr>
      <w:rFonts w:hint="default"/>
      <w:sz w:val="24"/>
      <w:szCs w:val="24"/>
    </w:rPr>
  </w:style>
  <w:style w:type="character" w:default="1" w:styleId="7">
    <w:name w:val="Default Paragraph Font"/>
    <w:unhideWhenUsed/>
    <w:uiPriority w:val="99"/>
    <w:rPr>
      <w:rFonts w:hint="default"/>
      <w:sz w:val="24"/>
      <w:szCs w:val="24"/>
    </w:rPr>
  </w:style>
  <w:style w:type="table" w:default="1" w:styleId="6">
    <w:name w:val="Normal Table"/>
    <w:qFormat/>
    <w:uiPriority w:val="99"/>
    <w:tblPr>
      <w:tblCellMar>
        <w:top w:w="0" w:type="dxa"/>
        <w:left w:w="108" w:type="dxa"/>
        <w:bottom w:w="0" w:type="dxa"/>
        <w:right w:w="108" w:type="dxa"/>
      </w:tblCellMar>
    </w:tblPr>
  </w:style>
  <w:style w:type="paragraph" w:styleId="4">
    <w:name w:val="footer"/>
    <w:basedOn w:val="1"/>
    <w:unhideWhenUsed/>
    <w:uiPriority w:val="99"/>
    <w:pPr>
      <w:tabs>
        <w:tab w:val="center" w:pos="4153"/>
        <w:tab w:val="right" w:pos="8306"/>
      </w:tabs>
      <w:snapToGrid w:val="0"/>
    </w:pPr>
    <w:rPr>
      <w:rFonts w:hint="default"/>
      <w:sz w:val="18"/>
      <w:szCs w:val="24"/>
    </w:rPr>
  </w:style>
  <w:style w:type="paragraph" w:styleId="5">
    <w:name w:val="header"/>
    <w:basedOn w:val="1"/>
    <w:unhideWhenUsed/>
    <w:uiPriority w:val="99"/>
    <w:pPr>
      <w:tabs>
        <w:tab w:val="center" w:pos="4153"/>
        <w:tab w:val="right" w:pos="8306"/>
      </w:tabs>
      <w:snapToGrid w:val="0"/>
      <w:jc w:val="both"/>
    </w:pPr>
    <w:rPr>
      <w:rFonts w:hint="default"/>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2023-09-14T07:06:17Z</dcterms:created>
  <dc:creator>Administrator</dc:creator>
  <cp:lastModifiedBy>Administrator</cp:lastModifiedBy>
  <dcterms:modified xsi:type="dcterms:W3CDTF">2023-09-14T07:06:50Z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E225C3863BAF4D3ABC212D4D7812B336_13</vt:lpwstr>
  </property>
</Properties>
</file>